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8E" w:rsidRPr="0045278C" w:rsidRDefault="0045278C" w:rsidP="0045278C">
      <w:pPr>
        <w:jc w:val="center"/>
        <w:rPr>
          <w:rFonts w:ascii="Britannic Bold" w:hAnsi="Britannic Bold"/>
          <w:sz w:val="52"/>
        </w:rPr>
      </w:pPr>
      <w:r w:rsidRPr="00FC1B8E">
        <w:rPr>
          <w:rFonts w:ascii="Britannic Bold" w:hAnsi="Britannic Bold"/>
          <w:noProof/>
          <w:sz w:val="44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148590</wp:posOffset>
            </wp:positionH>
            <wp:positionV relativeFrom="paragraph">
              <wp:posOffset>468630</wp:posOffset>
            </wp:positionV>
            <wp:extent cx="1200150" cy="1200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489777212478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B8E">
        <w:rPr>
          <w:noProof/>
          <w:sz w:val="44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5415915</wp:posOffset>
            </wp:positionH>
            <wp:positionV relativeFrom="paragraph">
              <wp:posOffset>430530</wp:posOffset>
            </wp:positionV>
            <wp:extent cx="1371600" cy="1111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an-approved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47A" w:rsidRPr="00FC1B8E">
        <w:rPr>
          <w:rFonts w:ascii="Britannic Bold" w:hAnsi="Britannic Bold"/>
          <w:sz w:val="52"/>
        </w:rPr>
        <w:t>CDBG Business</w:t>
      </w:r>
      <w:r w:rsidR="0073700F" w:rsidRPr="00FC1B8E">
        <w:rPr>
          <w:rFonts w:ascii="Britannic Bold" w:hAnsi="Britannic Bold"/>
          <w:sz w:val="52"/>
        </w:rPr>
        <w:t xml:space="preserve"> Assistance </w:t>
      </w:r>
      <w:r w:rsidR="00FC1B8E" w:rsidRPr="00FC1B8E">
        <w:rPr>
          <w:rFonts w:ascii="Britannic Bold" w:hAnsi="Britannic Bold"/>
          <w:sz w:val="52"/>
        </w:rPr>
        <w:t xml:space="preserve">&amp; Microenterprise Financial Assistance </w:t>
      </w:r>
      <w:r w:rsidR="001D047A" w:rsidRPr="00FC1B8E">
        <w:rPr>
          <w:rFonts w:ascii="Britannic Bold" w:hAnsi="Britannic Bold"/>
          <w:sz w:val="52"/>
        </w:rPr>
        <w:t>Workshop</w:t>
      </w:r>
    </w:p>
    <w:p w:rsidR="0073700F" w:rsidRPr="003F5434" w:rsidRDefault="003B339A" w:rsidP="0073700F">
      <w:pPr>
        <w:jc w:val="center"/>
        <w:rPr>
          <w:rFonts w:ascii="Britannic Bold" w:hAnsi="Britannic Bold"/>
          <w:sz w:val="44"/>
          <w:szCs w:val="44"/>
        </w:rPr>
      </w:pPr>
      <w:r w:rsidRPr="003B339A">
        <w:rPr>
          <w:rFonts w:ascii="Bradley Hand ITC" w:hAnsi="Bradley Hand ITC"/>
          <w:b/>
          <w:color w:val="FF0000"/>
          <w:sz w:val="36"/>
          <w:szCs w:val="44"/>
        </w:rPr>
        <w:t>Has been moved to:</w:t>
      </w:r>
      <w:r w:rsidRPr="003B339A">
        <w:rPr>
          <w:rFonts w:ascii="Britannic Bold" w:hAnsi="Britannic Bold"/>
          <w:color w:val="FF0000"/>
          <w:sz w:val="36"/>
          <w:szCs w:val="44"/>
        </w:rPr>
        <w:t xml:space="preserve"> </w:t>
      </w:r>
      <w:r>
        <w:rPr>
          <w:rFonts w:ascii="Britannic Bold" w:hAnsi="Britannic Bold"/>
          <w:sz w:val="36"/>
          <w:szCs w:val="44"/>
        </w:rPr>
        <w:t>Friday</w:t>
      </w:r>
      <w:r w:rsidR="001D047A" w:rsidRPr="00FC1B8E">
        <w:rPr>
          <w:rFonts w:ascii="Britannic Bold" w:hAnsi="Britannic Bold"/>
          <w:sz w:val="36"/>
          <w:szCs w:val="44"/>
        </w:rPr>
        <w:t xml:space="preserve">, </w:t>
      </w:r>
      <w:r>
        <w:rPr>
          <w:rFonts w:ascii="Britannic Bold" w:hAnsi="Britannic Bold"/>
          <w:sz w:val="36"/>
          <w:szCs w:val="44"/>
        </w:rPr>
        <w:t>April 12</w:t>
      </w:r>
      <w:r w:rsidR="00FC1B8E" w:rsidRPr="00FC1B8E">
        <w:rPr>
          <w:rFonts w:ascii="Britannic Bold" w:hAnsi="Britannic Bold"/>
          <w:sz w:val="36"/>
          <w:szCs w:val="44"/>
        </w:rPr>
        <w:t>, 2024</w:t>
      </w:r>
      <w:r w:rsidR="001D047A" w:rsidRPr="00FC1B8E">
        <w:rPr>
          <w:rFonts w:ascii="Britannic Bold" w:hAnsi="Britannic Bold"/>
          <w:sz w:val="40"/>
          <w:szCs w:val="44"/>
        </w:rPr>
        <w:t xml:space="preserve"> </w:t>
      </w:r>
    </w:p>
    <w:p w:rsidR="0073700F" w:rsidRDefault="00FC1B8E" w:rsidP="00AF6BE2">
      <w:pPr>
        <w:jc w:val="center"/>
        <w:rPr>
          <w:rFonts w:ascii="Britannic Bold" w:hAnsi="Britannic Bold"/>
          <w:sz w:val="40"/>
          <w:szCs w:val="40"/>
        </w:rPr>
      </w:pPr>
      <w:bookmarkStart w:id="0" w:name="_GoBack"/>
      <w:bookmarkEnd w:id="0"/>
      <w:proofErr w:type="gramStart"/>
      <w:r w:rsidRPr="00FC1B8E">
        <w:rPr>
          <w:rFonts w:ascii="Britannic Bold" w:hAnsi="Britannic Bold"/>
          <w:sz w:val="36"/>
          <w:szCs w:val="40"/>
        </w:rPr>
        <w:t>from</w:t>
      </w:r>
      <w:proofErr w:type="gramEnd"/>
      <w:r w:rsidRPr="00FC1B8E">
        <w:rPr>
          <w:rFonts w:ascii="Britannic Bold" w:hAnsi="Britannic Bold"/>
          <w:sz w:val="36"/>
          <w:szCs w:val="40"/>
        </w:rPr>
        <w:t xml:space="preserve"> 5:30 PM to 6</w:t>
      </w:r>
      <w:r w:rsidR="001D047A" w:rsidRPr="00FC1B8E">
        <w:rPr>
          <w:rFonts w:ascii="Britannic Bold" w:hAnsi="Britannic Bold"/>
          <w:sz w:val="36"/>
          <w:szCs w:val="40"/>
        </w:rPr>
        <w:t>:30 PM</w:t>
      </w:r>
    </w:p>
    <w:p w:rsidR="00AF6BE2" w:rsidRPr="009D3AD4" w:rsidRDefault="00AF6BE2" w:rsidP="00AF6BE2">
      <w:pPr>
        <w:jc w:val="center"/>
        <w:rPr>
          <w:rFonts w:ascii="Gill Sans MT" w:hAnsi="Gill Sans MT"/>
          <w:b/>
          <w:sz w:val="8"/>
          <w:szCs w:val="8"/>
        </w:rPr>
      </w:pPr>
    </w:p>
    <w:p w:rsidR="00AF6BE2" w:rsidRPr="00FC1B8E" w:rsidRDefault="001D047A" w:rsidP="00FC1B8E">
      <w:pPr>
        <w:jc w:val="center"/>
        <w:rPr>
          <w:rFonts w:ascii="Britannic Bold" w:hAnsi="Britannic Bold"/>
          <w:sz w:val="32"/>
          <w:szCs w:val="32"/>
        </w:rPr>
      </w:pPr>
      <w:r w:rsidRPr="00FC1B8E">
        <w:rPr>
          <w:rFonts w:ascii="Britannic Bold" w:hAnsi="Britannic Bold"/>
          <w:sz w:val="28"/>
          <w:szCs w:val="32"/>
        </w:rPr>
        <w:t xml:space="preserve">Workshop </w:t>
      </w:r>
      <w:r w:rsidR="00FC1B8E" w:rsidRPr="00FC1B8E">
        <w:rPr>
          <w:rFonts w:ascii="Britannic Bold" w:hAnsi="Britannic Bold"/>
          <w:sz w:val="28"/>
          <w:szCs w:val="32"/>
        </w:rPr>
        <w:t>located</w:t>
      </w:r>
      <w:r w:rsidRPr="00FC1B8E">
        <w:rPr>
          <w:rFonts w:ascii="Britannic Bold" w:hAnsi="Britannic Bold"/>
          <w:sz w:val="28"/>
          <w:szCs w:val="32"/>
        </w:rPr>
        <w:t xml:space="preserve"> at Town Hall</w:t>
      </w:r>
    </w:p>
    <w:p w:rsidR="004B20CA" w:rsidRPr="004B20CA" w:rsidRDefault="004B20CA" w:rsidP="00AF6BE2">
      <w:pPr>
        <w:jc w:val="center"/>
        <w:rPr>
          <w:rFonts w:ascii="Britannic Bold" w:hAnsi="Britannic Bold"/>
          <w:sz w:val="6"/>
          <w:szCs w:val="6"/>
        </w:rPr>
      </w:pPr>
    </w:p>
    <w:p w:rsidR="001D047A" w:rsidRDefault="00AF6BE2" w:rsidP="00FC1B8E">
      <w:pPr>
        <w:jc w:val="center"/>
        <w:rPr>
          <w:rFonts w:ascii="Britannic Bold" w:hAnsi="Britannic Bold"/>
        </w:rPr>
      </w:pPr>
      <w:r w:rsidRPr="004B20CA">
        <w:rPr>
          <w:rFonts w:ascii="Britannic Bold" w:hAnsi="Britannic Bold"/>
        </w:rPr>
        <w:t>Town Hall</w:t>
      </w:r>
      <w:r w:rsidRPr="004B20CA">
        <w:rPr>
          <w:rFonts w:ascii="Gill Sans MT" w:hAnsi="Gill Sans MT"/>
          <w:b/>
        </w:rPr>
        <w:t xml:space="preserve">: </w:t>
      </w:r>
      <w:r w:rsidR="001D047A" w:rsidRPr="004B20CA">
        <w:rPr>
          <w:rFonts w:ascii="Britannic Bold" w:hAnsi="Britannic Bold"/>
        </w:rPr>
        <w:t>363 N Main St</w:t>
      </w:r>
      <w:r w:rsidR="00FC1B8E">
        <w:rPr>
          <w:rFonts w:ascii="Gill Sans MT" w:hAnsi="Gill Sans MT"/>
          <w:b/>
        </w:rPr>
        <w:t xml:space="preserve">., </w:t>
      </w:r>
      <w:r w:rsidR="001D047A" w:rsidRPr="004B20CA">
        <w:rPr>
          <w:rFonts w:ascii="Britannic Bold" w:hAnsi="Britannic Bold"/>
        </w:rPr>
        <w:t>Fort Bragg, CA 95437</w:t>
      </w:r>
    </w:p>
    <w:p w:rsidR="00FC1B8E" w:rsidRDefault="00A575BD" w:rsidP="00FC1B8E">
      <w:pPr>
        <w:jc w:val="center"/>
        <w:rPr>
          <w:rFonts w:ascii="Britannic Bold" w:hAnsi="Britannic Bold"/>
          <w:sz w:val="18"/>
        </w:rPr>
      </w:pPr>
      <w:r>
        <w:rPr>
          <w:rFonts w:ascii="Britannic Bold" w:hAnsi="Britannic Bold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38734</wp:posOffset>
                </wp:positionV>
                <wp:extent cx="6715125" cy="4857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485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575BD" w:rsidRDefault="00A575BD" w:rsidP="00A575BD">
                            <w:pPr>
                              <w:jc w:val="center"/>
                              <w:rPr>
                                <w:rFonts w:ascii="Castellar" w:hAnsi="Castellar"/>
                                <w:szCs w:val="26"/>
                              </w:rPr>
                            </w:pPr>
                            <w:r w:rsidRPr="00FC1B8E">
                              <w:rPr>
                                <w:rFonts w:ascii="Castellar" w:hAnsi="Castellar"/>
                                <w:szCs w:val="26"/>
                              </w:rPr>
                              <w:t>The City’s current CDBG business loan programs are expiring soon. Take advantage of this opportu</w:t>
                            </w:r>
                            <w:r>
                              <w:rPr>
                                <w:rFonts w:ascii="Castellar" w:hAnsi="Castellar"/>
                                <w:szCs w:val="26"/>
                              </w:rPr>
                              <w:t>nity while funds are available!</w:t>
                            </w:r>
                          </w:p>
                          <w:p w:rsidR="00A575BD" w:rsidRDefault="00A57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2pt;margin-top:3.05pt;width:528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1eVAIAAKIEAAAOAAAAZHJzL2Uyb0RvYy54bWysVE1v2zAMvQ/YfxB0X2xncdMacYosRYYB&#10;WVsgGXpWZDkxIImapMTOfv0oOV/odhp2kSnykSIfSU8eOyXJQVjXgC5pNkgpEZpD1ehtSX+sF5/u&#10;KXGe6YpJ0KKkR+Ho4/Tjh0lrCjGEHchKWIJBtCtaU9Kd96ZIEsd3QjE3ACM0Gmuwinm82m1SWdZi&#10;dCWTYZreJS3YyljgwjnUPvVGOo3x61pw/1LXTngiS4q5+XjaeG7CmUwnrNhaZnYNP6XB/iELxRqN&#10;j15CPTHPyN42f4RSDbfgoPYDDiqBum64iDVgNVn6rprVjhkRa0FynLnQ5P5fWP58eLWkqUo6pEQz&#10;hS1ai86TL9CRYWCnNa5A0MogzHeoxi6f9Q6Voeiutip8sRyCduT5eOE2BOOovBtneTbMKeFoG93n&#10;43EewiRXb2Od/ypAkSCU1GLvIqXssHS+h54h4TENi0bK2D+pSYsF5KM0jR4OZFMFa8DFURJzacmB&#10;4RAwzoX2nyNO7tV3qHr9OE/Ru3/m4hLzu4mG2UqNykBKX3yQfLfp0DGIG6iOSJSFftCc4YsGq1ky&#10;51+ZxclCbnBb/AsetQTMGk4SJTuwv/6mD3hsOFopaXFSS+p+7pkVlMhvGkfhIRuNwmjHyygfD/Fi&#10;by2bW4veqzkgDxnupeFRDHgvz2JtQb3hUs3Cq2himuPbJfVnce77/cGl5GI2iyAcZsP8Uq8MD6ED&#10;76FX6+6NWXNqqMdReIbzTLPiXV97bN/Z2d5D3cSmX1k98Y6LENtyWtqwabf3iLr+Wqa/AQAA//8D&#10;AFBLAwQUAAYACAAAACEAHltslt4AAAAIAQAADwAAAGRycy9kb3ducmV2LnhtbEyPMU/DMBSEdyT+&#10;g/WQ2KjdKEpCyEuFkACxIFFYsrm266SN7ch2m/DvcSc6nu50912zWcxIzsqHwVmE9YoBUVY4OViN&#10;8PP9+lABCZFbyUdnFcKvCrBpb28aXks32y913kZNUokNNUfoY5xqSoPoleFh5SZlk7d33vCYpNdU&#10;ej6ncjPSjLGCGj7YtNDzSb30Shy3J4OQs6PQebfMXuj38lCF7vPto0O8v1uen4BEtcT/MFzwEzq0&#10;iWnnTlYGMiJkLE9JhGIN5GKzsnwEskOosgJo29DrA+0fAAAA//8DAFBLAQItABQABgAIAAAAIQC2&#10;gziS/gAAAOEBAAATAAAAAAAAAAAAAAAAAAAAAABbQ29udGVudF9UeXBlc10ueG1sUEsBAi0AFAAG&#10;AAgAAAAhADj9If/WAAAAlAEAAAsAAAAAAAAAAAAAAAAALwEAAF9yZWxzLy5yZWxzUEsBAi0AFAAG&#10;AAgAAAAhACMRzV5UAgAAogQAAA4AAAAAAAAAAAAAAAAALgIAAGRycy9lMm9Eb2MueG1sUEsBAi0A&#10;FAAGAAgAAAAhAB5bbJbeAAAACAEAAA8AAAAAAAAAAAAAAAAArgQAAGRycy9kb3ducmV2LnhtbFBL&#10;BQYAAAAABAAEAPMAAAC5BQAAAAA=&#10;" filled="f" strokecolor="#4a9a82 [2406]" strokeweight="2pt">
                <v:textbox>
                  <w:txbxContent>
                    <w:p w:rsidR="00A575BD" w:rsidRDefault="00A575BD" w:rsidP="00A575BD">
                      <w:pPr>
                        <w:jc w:val="center"/>
                        <w:rPr>
                          <w:rFonts w:ascii="Castellar" w:hAnsi="Castellar"/>
                          <w:szCs w:val="26"/>
                        </w:rPr>
                      </w:pPr>
                      <w:r w:rsidRPr="00FC1B8E">
                        <w:rPr>
                          <w:rFonts w:ascii="Castellar" w:hAnsi="Castellar"/>
                          <w:szCs w:val="26"/>
                        </w:rPr>
                        <w:t>The City’s current CDBG business loan programs are expiring soon. Take advantage of this opportu</w:t>
                      </w:r>
                      <w:r>
                        <w:rPr>
                          <w:rFonts w:ascii="Castellar" w:hAnsi="Castellar"/>
                          <w:szCs w:val="26"/>
                        </w:rPr>
                        <w:t>nity while funds are available!</w:t>
                      </w:r>
                    </w:p>
                    <w:p w:rsidR="00A575BD" w:rsidRDefault="00A575BD"/>
                  </w:txbxContent>
                </v:textbox>
                <w10:wrap anchorx="margin"/>
              </v:shape>
            </w:pict>
          </mc:Fallback>
        </mc:AlternateContent>
      </w:r>
    </w:p>
    <w:p w:rsidR="00A575BD" w:rsidRDefault="00A575BD" w:rsidP="00FC1B8E">
      <w:pPr>
        <w:jc w:val="center"/>
        <w:rPr>
          <w:rFonts w:ascii="Britannic Bold" w:hAnsi="Britannic Bold"/>
        </w:rPr>
      </w:pPr>
    </w:p>
    <w:p w:rsidR="00A575BD" w:rsidRPr="00A575BD" w:rsidRDefault="00A575BD" w:rsidP="00FC1B8E">
      <w:pPr>
        <w:jc w:val="center"/>
        <w:rPr>
          <w:rFonts w:ascii="Britannic Bold" w:hAnsi="Britannic Bold"/>
        </w:rPr>
      </w:pPr>
    </w:p>
    <w:p w:rsidR="00FC1B8E" w:rsidRPr="003976EE" w:rsidRDefault="00FC1B8E" w:rsidP="00FC1B8E">
      <w:pPr>
        <w:jc w:val="center"/>
        <w:rPr>
          <w:rFonts w:ascii="Castellar" w:hAnsi="Castellar"/>
          <w:sz w:val="12"/>
          <w:szCs w:val="26"/>
        </w:rPr>
      </w:pPr>
    </w:p>
    <w:p w:rsidR="001D047A" w:rsidRPr="00FC1B8E" w:rsidRDefault="001D047A" w:rsidP="00FC1B8E">
      <w:pPr>
        <w:jc w:val="both"/>
        <w:rPr>
          <w:rFonts w:ascii="Gill Sans MT" w:hAnsi="Gill Sans MT"/>
          <w:szCs w:val="26"/>
        </w:rPr>
      </w:pPr>
      <w:r w:rsidRPr="00FC1B8E">
        <w:rPr>
          <w:rFonts w:ascii="Gill Sans MT" w:hAnsi="Gill Sans MT"/>
          <w:szCs w:val="26"/>
        </w:rPr>
        <w:t xml:space="preserve">The City of Fort Bragg is offering a Community Development Block Grant (CDBG) </w:t>
      </w:r>
      <w:r w:rsidR="00FC1B8E" w:rsidRPr="00FC1B8E">
        <w:rPr>
          <w:rFonts w:ascii="Gill Sans MT" w:hAnsi="Gill Sans MT"/>
          <w:szCs w:val="26"/>
        </w:rPr>
        <w:t>Business Assistance and Microenterprise Financial Assistance</w:t>
      </w:r>
      <w:r w:rsidRPr="00FC1B8E">
        <w:rPr>
          <w:rFonts w:ascii="Gill Sans MT" w:hAnsi="Gill Sans MT"/>
          <w:szCs w:val="26"/>
        </w:rPr>
        <w:t xml:space="preserve"> workshop for local businesses. </w:t>
      </w:r>
    </w:p>
    <w:p w:rsidR="00714FFC" w:rsidRPr="00FC1B8E" w:rsidRDefault="00714FFC" w:rsidP="00714FFC">
      <w:pPr>
        <w:jc w:val="both"/>
        <w:rPr>
          <w:rFonts w:ascii="Gill Sans MT" w:hAnsi="Gill Sans MT"/>
          <w:sz w:val="8"/>
          <w:szCs w:val="10"/>
        </w:rPr>
      </w:pPr>
    </w:p>
    <w:p w:rsidR="00800EFB" w:rsidRPr="00FC1B8E" w:rsidRDefault="001D047A" w:rsidP="00714FFC">
      <w:pPr>
        <w:jc w:val="both"/>
        <w:rPr>
          <w:rFonts w:ascii="Gill Sans MT" w:hAnsi="Gill Sans MT"/>
          <w:szCs w:val="26"/>
        </w:rPr>
      </w:pPr>
      <w:r w:rsidRPr="00FC1B8E">
        <w:rPr>
          <w:rFonts w:ascii="Gill Sans MT" w:hAnsi="Gill Sans MT"/>
          <w:szCs w:val="26"/>
        </w:rPr>
        <w:t>Please note that</w:t>
      </w:r>
      <w:r w:rsidR="004750C5">
        <w:rPr>
          <w:rFonts w:ascii="Gill Sans MT" w:hAnsi="Gill Sans MT"/>
          <w:szCs w:val="26"/>
        </w:rPr>
        <w:t>,</w:t>
      </w:r>
      <w:r w:rsidRPr="00FC1B8E">
        <w:rPr>
          <w:rFonts w:ascii="Gill Sans MT" w:hAnsi="Gill Sans MT"/>
          <w:szCs w:val="26"/>
        </w:rPr>
        <w:t xml:space="preserve"> while anyone can attend the workshop, only businesses within the City limits are eligible to apply for the City’s Business Assistance Loan Program. </w:t>
      </w:r>
    </w:p>
    <w:p w:rsidR="00714FFC" w:rsidRPr="00FC1B8E" w:rsidRDefault="00714FFC" w:rsidP="00714FFC">
      <w:pPr>
        <w:jc w:val="both"/>
        <w:rPr>
          <w:rFonts w:ascii="Gill Sans MT" w:hAnsi="Gill Sans MT"/>
          <w:sz w:val="8"/>
          <w:szCs w:val="10"/>
        </w:rPr>
      </w:pPr>
    </w:p>
    <w:p w:rsidR="001D047A" w:rsidRDefault="005C7E70" w:rsidP="00714FFC">
      <w:pPr>
        <w:jc w:val="both"/>
        <w:rPr>
          <w:rFonts w:ascii="Gill Sans MT" w:hAnsi="Gill Sans MT"/>
          <w:szCs w:val="26"/>
        </w:rPr>
      </w:pPr>
      <w:r w:rsidRPr="00FC1B8E">
        <w:rPr>
          <w:rFonts w:ascii="Gill Sans MT" w:hAnsi="Gill Sans MT"/>
          <w:szCs w:val="26"/>
        </w:rPr>
        <w:t>P</w:t>
      </w:r>
      <w:r w:rsidR="00800EFB" w:rsidRPr="00FC1B8E">
        <w:rPr>
          <w:rFonts w:ascii="Gill Sans MT" w:hAnsi="Gill Sans MT"/>
          <w:szCs w:val="26"/>
        </w:rPr>
        <w:t xml:space="preserve">rograms </w:t>
      </w:r>
      <w:proofErr w:type="gramStart"/>
      <w:r w:rsidR="00800EFB" w:rsidRPr="00FC1B8E">
        <w:rPr>
          <w:rFonts w:ascii="Gill Sans MT" w:hAnsi="Gill Sans MT"/>
          <w:szCs w:val="26"/>
        </w:rPr>
        <w:t>are funded</w:t>
      </w:r>
      <w:proofErr w:type="gramEnd"/>
      <w:r w:rsidR="00800EFB" w:rsidRPr="00FC1B8E">
        <w:rPr>
          <w:rFonts w:ascii="Gill Sans MT" w:hAnsi="Gill Sans MT"/>
          <w:szCs w:val="26"/>
        </w:rPr>
        <w:t xml:space="preserve"> by CDBG </w:t>
      </w:r>
      <w:r w:rsidR="00834581" w:rsidRPr="00FC1B8E">
        <w:rPr>
          <w:rFonts w:ascii="Gill Sans MT" w:hAnsi="Gill Sans MT"/>
          <w:szCs w:val="26"/>
        </w:rPr>
        <w:t xml:space="preserve">funds </w:t>
      </w:r>
      <w:r w:rsidRPr="00FC1B8E">
        <w:rPr>
          <w:rFonts w:ascii="Gill Sans MT" w:hAnsi="Gill Sans MT"/>
          <w:szCs w:val="26"/>
        </w:rPr>
        <w:t>from the</w:t>
      </w:r>
      <w:r w:rsidR="00834581" w:rsidRPr="00FC1B8E">
        <w:rPr>
          <w:rFonts w:ascii="Gill Sans MT" w:hAnsi="Gill Sans MT"/>
          <w:szCs w:val="26"/>
        </w:rPr>
        <w:t xml:space="preserve"> State </w:t>
      </w:r>
      <w:r w:rsidRPr="00FC1B8E">
        <w:rPr>
          <w:rFonts w:ascii="Gill Sans MT" w:hAnsi="Gill Sans MT"/>
          <w:szCs w:val="26"/>
        </w:rPr>
        <w:t xml:space="preserve">Department of </w:t>
      </w:r>
      <w:r w:rsidR="00834581" w:rsidRPr="00FC1B8E">
        <w:rPr>
          <w:rFonts w:ascii="Gill Sans MT" w:hAnsi="Gill Sans MT"/>
          <w:szCs w:val="26"/>
        </w:rPr>
        <w:t>Housing and C</w:t>
      </w:r>
      <w:r w:rsidRPr="00FC1B8E">
        <w:rPr>
          <w:rFonts w:ascii="Gill Sans MT" w:hAnsi="Gill Sans MT"/>
          <w:szCs w:val="26"/>
        </w:rPr>
        <w:t>ommunity Development.</w:t>
      </w:r>
    </w:p>
    <w:p w:rsidR="00714FFC" w:rsidRPr="00817BEC" w:rsidRDefault="004B20CA" w:rsidP="00714FFC">
      <w:pPr>
        <w:jc w:val="both"/>
        <w:rPr>
          <w:rFonts w:ascii="Gill Sans MT" w:hAnsi="Gill Sans MT"/>
          <w:sz w:val="16"/>
          <w:szCs w:val="16"/>
        </w:rPr>
      </w:pPr>
      <w:r>
        <w:rPr>
          <w:rFonts w:ascii="Gill Sans MT" w:hAnsi="Gill Sans MT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161925</wp:posOffset>
            </wp:positionH>
            <wp:positionV relativeFrom="paragraph">
              <wp:posOffset>5188585</wp:posOffset>
            </wp:positionV>
            <wp:extent cx="742950" cy="75552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Fort Bragg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5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30"/>
        <w:gridCol w:w="4202"/>
        <w:gridCol w:w="4602"/>
      </w:tblGrid>
      <w:tr w:rsidR="003716C4" w:rsidRPr="003716C4" w:rsidTr="003716C4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228886"/>
            <w:vAlign w:val="center"/>
            <w:hideMark/>
          </w:tcPr>
          <w:p w:rsidR="003716C4" w:rsidRPr="003716C4" w:rsidRDefault="003716C4" w:rsidP="003716C4">
            <w:pPr>
              <w:jc w:val="center"/>
              <w:rPr>
                <w:rFonts w:ascii="Gill Sans MT" w:hAnsi="Gill Sans MT" w:cs="Calibri"/>
                <w:b/>
                <w:bCs/>
                <w:color w:val="FFFFFF"/>
              </w:rPr>
            </w:pPr>
            <w:r w:rsidRPr="003716C4">
              <w:rPr>
                <w:rFonts w:ascii="Gill Sans MT" w:hAnsi="Gill Sans MT" w:cs="Calibri"/>
                <w:b/>
                <w:bCs/>
                <w:color w:val="FFFFFF"/>
              </w:rPr>
              <w:t>Purpose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AF2F1"/>
            <w:vAlign w:val="center"/>
            <w:hideMark/>
          </w:tcPr>
          <w:p w:rsidR="003716C4" w:rsidRPr="003716C4" w:rsidRDefault="003716C4" w:rsidP="003716C4">
            <w:pPr>
              <w:rPr>
                <w:rFonts w:ascii="Gill Sans MT" w:hAnsi="Gill Sans MT" w:cs="Calibri"/>
                <w:color w:val="000000"/>
                <w:sz w:val="22"/>
                <w:szCs w:val="22"/>
              </w:rPr>
            </w:pPr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 xml:space="preserve">The City of Fort Bragg offers business loans funded with Community Development Block Grants (CDBG). The purpose of these business loans is to provide flexible financing to </w:t>
            </w:r>
            <w:proofErr w:type="gramStart"/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>businesses which</w:t>
            </w:r>
            <w:proofErr w:type="gramEnd"/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>, in turn, create or retain jobs.</w:t>
            </w:r>
          </w:p>
        </w:tc>
      </w:tr>
      <w:tr w:rsidR="003716C4" w:rsidRPr="003716C4" w:rsidTr="003716C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3716C4" w:rsidRPr="003716C4" w:rsidRDefault="003716C4" w:rsidP="003716C4">
            <w:pPr>
              <w:jc w:val="center"/>
              <w:rPr>
                <w:rFonts w:ascii="Gill Sans MT" w:hAnsi="Gill Sans MT" w:cs="Calibri"/>
                <w:b/>
                <w:bCs/>
                <w:color w:val="FFFFFF"/>
              </w:rPr>
            </w:pPr>
            <w:r w:rsidRPr="003716C4">
              <w:rPr>
                <w:rFonts w:ascii="Gill Sans MT" w:hAnsi="Gill Sans MT" w:cs="Calibri"/>
                <w:b/>
                <w:bCs/>
                <w:color w:val="FFFFFF"/>
              </w:rPr>
              <w:t>Funding Source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F2FF"/>
            <w:vAlign w:val="center"/>
            <w:hideMark/>
          </w:tcPr>
          <w:p w:rsidR="003716C4" w:rsidRPr="003716C4" w:rsidRDefault="003716C4" w:rsidP="003716C4">
            <w:pPr>
              <w:rPr>
                <w:rFonts w:ascii="Gill Sans MT" w:hAnsi="Gill Sans MT" w:cs="Calibri"/>
                <w:color w:val="000000"/>
                <w:sz w:val="22"/>
                <w:szCs w:val="22"/>
              </w:rPr>
            </w:pPr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>State Housing and Community Development Department (HCD) Community Development Block Grant (CDBG)</w:t>
            </w:r>
          </w:p>
        </w:tc>
      </w:tr>
      <w:tr w:rsidR="003716C4" w:rsidRPr="003716C4" w:rsidTr="003716C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08886"/>
            <w:vAlign w:val="center"/>
            <w:hideMark/>
          </w:tcPr>
          <w:p w:rsidR="003716C4" w:rsidRPr="003716C4" w:rsidRDefault="003716C4" w:rsidP="003716C4">
            <w:pPr>
              <w:jc w:val="center"/>
              <w:rPr>
                <w:rFonts w:ascii="Gill Sans MT" w:hAnsi="Gill Sans MT" w:cs="Calibri"/>
                <w:b/>
                <w:bCs/>
                <w:color w:val="FFFFFF"/>
              </w:rPr>
            </w:pPr>
            <w:r w:rsidRPr="003716C4">
              <w:rPr>
                <w:rFonts w:ascii="Gill Sans MT" w:hAnsi="Gill Sans MT" w:cs="Calibri"/>
                <w:b/>
                <w:bCs/>
                <w:color w:val="FFFFFF"/>
              </w:rPr>
              <w:t>Loan Amount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F2F1"/>
            <w:vAlign w:val="center"/>
            <w:hideMark/>
          </w:tcPr>
          <w:p w:rsidR="003716C4" w:rsidRPr="003716C4" w:rsidRDefault="003716C4" w:rsidP="003716C4">
            <w:pPr>
              <w:rPr>
                <w:rFonts w:ascii="Gill Sans MT" w:hAnsi="Gill Sans MT" w:cs="Calibri"/>
                <w:color w:val="000000"/>
                <w:sz w:val="22"/>
                <w:szCs w:val="22"/>
              </w:rPr>
            </w:pPr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>From $35,000 to $300,000 * depending on funds available.</w:t>
            </w:r>
          </w:p>
        </w:tc>
      </w:tr>
      <w:tr w:rsidR="003716C4" w:rsidRPr="003716C4" w:rsidTr="003716C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3716C4" w:rsidRPr="003716C4" w:rsidRDefault="003716C4" w:rsidP="003716C4">
            <w:pPr>
              <w:jc w:val="center"/>
              <w:rPr>
                <w:rFonts w:ascii="Gill Sans MT" w:hAnsi="Gill Sans MT" w:cs="Calibri"/>
                <w:b/>
                <w:bCs/>
                <w:color w:val="FFFFFF"/>
              </w:rPr>
            </w:pPr>
            <w:r w:rsidRPr="003716C4">
              <w:rPr>
                <w:rFonts w:ascii="Gill Sans MT" w:hAnsi="Gill Sans MT" w:cs="Calibri"/>
                <w:b/>
                <w:bCs/>
                <w:color w:val="FFFFFF"/>
              </w:rPr>
              <w:t>Interest Rates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F2FF"/>
            <w:vAlign w:val="center"/>
            <w:hideMark/>
          </w:tcPr>
          <w:p w:rsidR="003716C4" w:rsidRPr="003716C4" w:rsidRDefault="003716C4" w:rsidP="003716C4">
            <w:pPr>
              <w:rPr>
                <w:rFonts w:ascii="Gill Sans MT" w:hAnsi="Gill Sans MT" w:cs="Calibri"/>
                <w:color w:val="000000"/>
                <w:sz w:val="22"/>
                <w:szCs w:val="22"/>
              </w:rPr>
            </w:pPr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 xml:space="preserve">As low as 1.0%, based on the cash flow needs of the borrower and the risk level of the loan. Repayment terms </w:t>
            </w:r>
            <w:proofErr w:type="gramStart"/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>are based</w:t>
            </w:r>
            <w:proofErr w:type="gramEnd"/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 xml:space="preserve"> on the ability of the business to repay the loan.</w:t>
            </w:r>
          </w:p>
        </w:tc>
      </w:tr>
      <w:tr w:rsidR="003716C4" w:rsidRPr="003716C4" w:rsidTr="003716C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08886"/>
            <w:vAlign w:val="center"/>
            <w:hideMark/>
          </w:tcPr>
          <w:p w:rsidR="003716C4" w:rsidRPr="003716C4" w:rsidRDefault="003716C4" w:rsidP="003716C4">
            <w:pPr>
              <w:jc w:val="center"/>
              <w:rPr>
                <w:rFonts w:ascii="Gill Sans MT" w:hAnsi="Gill Sans MT" w:cs="Calibri"/>
                <w:b/>
                <w:bCs/>
                <w:color w:val="FFFFFF"/>
              </w:rPr>
            </w:pPr>
            <w:r w:rsidRPr="003716C4">
              <w:rPr>
                <w:rFonts w:ascii="Gill Sans MT" w:hAnsi="Gill Sans MT" w:cs="Calibri"/>
                <w:b/>
                <w:bCs/>
                <w:color w:val="FFFFFF"/>
              </w:rPr>
              <w:t>Collateral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F2F1"/>
            <w:vAlign w:val="center"/>
            <w:hideMark/>
          </w:tcPr>
          <w:p w:rsidR="003716C4" w:rsidRPr="003716C4" w:rsidRDefault="003716C4" w:rsidP="003716C4">
            <w:pPr>
              <w:rPr>
                <w:rFonts w:ascii="Gill Sans MT" w:hAnsi="Gill Sans MT" w:cs="Calibri"/>
                <w:color w:val="000000"/>
                <w:sz w:val="22"/>
                <w:szCs w:val="22"/>
              </w:rPr>
            </w:pPr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 xml:space="preserve">Junior lien positions are </w:t>
            </w:r>
            <w:proofErr w:type="gramStart"/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>possible,</w:t>
            </w:r>
            <w:proofErr w:type="gramEnd"/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 xml:space="preserve"> a personal loan guarantee is required.</w:t>
            </w:r>
          </w:p>
        </w:tc>
      </w:tr>
      <w:tr w:rsidR="003716C4" w:rsidRPr="003716C4" w:rsidTr="003716C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3716C4" w:rsidRPr="003716C4" w:rsidRDefault="003716C4" w:rsidP="003716C4">
            <w:pPr>
              <w:jc w:val="center"/>
              <w:rPr>
                <w:rFonts w:ascii="Gill Sans MT" w:hAnsi="Gill Sans MT" w:cs="Calibri"/>
                <w:b/>
                <w:bCs/>
                <w:color w:val="FFFFFF"/>
              </w:rPr>
            </w:pPr>
            <w:r w:rsidRPr="003716C4">
              <w:rPr>
                <w:rFonts w:ascii="Gill Sans MT" w:hAnsi="Gill Sans MT" w:cs="Calibri"/>
                <w:b/>
                <w:bCs/>
                <w:color w:val="FFFFFF"/>
              </w:rPr>
              <w:t>Repayment Schedules / Terms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F2FF"/>
            <w:vAlign w:val="center"/>
            <w:hideMark/>
          </w:tcPr>
          <w:p w:rsidR="003716C4" w:rsidRPr="003716C4" w:rsidRDefault="003716C4" w:rsidP="003716C4">
            <w:pPr>
              <w:rPr>
                <w:rFonts w:ascii="Gill Sans MT" w:hAnsi="Gill Sans MT" w:cs="Calibri"/>
                <w:color w:val="000000"/>
                <w:sz w:val="22"/>
                <w:szCs w:val="22"/>
              </w:rPr>
            </w:pPr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 xml:space="preserve">A deferral of payments is possible based on income &amp; expense projections and the loan term can exceed the life of the asset. The repayment schedule </w:t>
            </w:r>
            <w:proofErr w:type="gramStart"/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>is based</w:t>
            </w:r>
            <w:proofErr w:type="gramEnd"/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 xml:space="preserve"> on the capacity of the business to repay the loan.</w:t>
            </w:r>
          </w:p>
        </w:tc>
      </w:tr>
      <w:tr w:rsidR="003716C4" w:rsidRPr="003716C4" w:rsidTr="003716C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08886"/>
            <w:vAlign w:val="center"/>
            <w:hideMark/>
          </w:tcPr>
          <w:p w:rsidR="003716C4" w:rsidRPr="003716C4" w:rsidRDefault="003716C4" w:rsidP="003716C4">
            <w:pPr>
              <w:jc w:val="center"/>
              <w:rPr>
                <w:rFonts w:ascii="Gill Sans MT" w:hAnsi="Gill Sans MT" w:cs="Calibri"/>
                <w:b/>
                <w:bCs/>
                <w:color w:val="FFFFFF"/>
              </w:rPr>
            </w:pPr>
            <w:r w:rsidRPr="003716C4">
              <w:rPr>
                <w:rFonts w:ascii="Gill Sans MT" w:hAnsi="Gill Sans MT" w:cs="Calibri"/>
                <w:b/>
                <w:bCs/>
                <w:color w:val="FFFFFF"/>
              </w:rPr>
              <w:t>Loan Fees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F2F1"/>
            <w:vAlign w:val="center"/>
            <w:hideMark/>
          </w:tcPr>
          <w:p w:rsidR="003716C4" w:rsidRPr="003716C4" w:rsidRDefault="003716C4" w:rsidP="003716C4">
            <w:pPr>
              <w:rPr>
                <w:rFonts w:ascii="Gill Sans MT" w:hAnsi="Gill Sans MT" w:cs="Calibri"/>
                <w:color w:val="000000"/>
                <w:sz w:val="22"/>
                <w:szCs w:val="22"/>
              </w:rPr>
            </w:pPr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>None</w:t>
            </w:r>
          </w:p>
        </w:tc>
      </w:tr>
      <w:tr w:rsidR="003716C4" w:rsidRPr="003716C4" w:rsidTr="003716C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3716C4" w:rsidRPr="003716C4" w:rsidRDefault="003716C4" w:rsidP="003716C4">
            <w:pPr>
              <w:jc w:val="center"/>
              <w:rPr>
                <w:rFonts w:ascii="Gill Sans MT" w:hAnsi="Gill Sans MT" w:cs="Calibri"/>
                <w:b/>
                <w:bCs/>
                <w:color w:val="FFFFFF"/>
              </w:rPr>
            </w:pPr>
            <w:r w:rsidRPr="003716C4">
              <w:rPr>
                <w:rFonts w:ascii="Gill Sans MT" w:hAnsi="Gill Sans MT" w:cs="Calibri"/>
                <w:b/>
                <w:bCs/>
                <w:color w:val="FFFFFF"/>
              </w:rPr>
              <w:t>Job Creation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F2FF"/>
            <w:vAlign w:val="center"/>
            <w:hideMark/>
          </w:tcPr>
          <w:p w:rsidR="003716C4" w:rsidRPr="003716C4" w:rsidRDefault="003716C4" w:rsidP="003716C4">
            <w:pPr>
              <w:rPr>
                <w:rFonts w:ascii="Gill Sans MT" w:hAnsi="Gill Sans MT" w:cs="Calibri"/>
                <w:color w:val="000000"/>
                <w:sz w:val="22"/>
                <w:szCs w:val="22"/>
              </w:rPr>
            </w:pPr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 xml:space="preserve">One job per $35,000 loaned, with 51% of the jobs to be filled by members of the low to </w:t>
            </w:r>
            <w:proofErr w:type="gramStart"/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>moderate income</w:t>
            </w:r>
            <w:proofErr w:type="gramEnd"/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 xml:space="preserve"> group.</w:t>
            </w:r>
          </w:p>
        </w:tc>
      </w:tr>
      <w:tr w:rsidR="003716C4" w:rsidRPr="003716C4" w:rsidTr="003716C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08886"/>
            <w:vAlign w:val="center"/>
            <w:hideMark/>
          </w:tcPr>
          <w:p w:rsidR="003716C4" w:rsidRPr="003716C4" w:rsidRDefault="003716C4" w:rsidP="003716C4">
            <w:pPr>
              <w:jc w:val="center"/>
              <w:rPr>
                <w:rFonts w:ascii="Gill Sans MT" w:hAnsi="Gill Sans MT" w:cs="Calibri"/>
                <w:b/>
                <w:bCs/>
                <w:color w:val="FFFFFF"/>
              </w:rPr>
            </w:pPr>
            <w:r w:rsidRPr="003716C4">
              <w:rPr>
                <w:rFonts w:ascii="Gill Sans MT" w:hAnsi="Gill Sans MT" w:cs="Calibri"/>
                <w:b/>
                <w:bCs/>
                <w:color w:val="FFFFFF"/>
              </w:rPr>
              <w:t>Use of Funds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F2F1"/>
            <w:vAlign w:val="center"/>
            <w:hideMark/>
          </w:tcPr>
          <w:p w:rsidR="003716C4" w:rsidRPr="003716C4" w:rsidRDefault="003716C4" w:rsidP="003716C4">
            <w:pPr>
              <w:rPr>
                <w:rFonts w:ascii="Gill Sans MT" w:hAnsi="Gill Sans MT" w:cs="Calibri"/>
                <w:color w:val="000000"/>
                <w:sz w:val="22"/>
                <w:szCs w:val="22"/>
              </w:rPr>
            </w:pPr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>Purchase of equipment, inventory, real property, working capital, debt consolidation. Construction is less preferable due to Davis Bacon Labor Law requirements.</w:t>
            </w:r>
          </w:p>
        </w:tc>
      </w:tr>
      <w:tr w:rsidR="003716C4" w:rsidRPr="003716C4" w:rsidTr="003716C4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3716C4" w:rsidRPr="003716C4" w:rsidRDefault="003716C4" w:rsidP="003716C4">
            <w:pPr>
              <w:jc w:val="center"/>
              <w:rPr>
                <w:rFonts w:ascii="Gill Sans MT" w:hAnsi="Gill Sans MT" w:cs="Calibri"/>
                <w:b/>
                <w:bCs/>
                <w:color w:val="FFFFFF"/>
              </w:rPr>
            </w:pPr>
            <w:r w:rsidRPr="003716C4">
              <w:rPr>
                <w:rFonts w:ascii="Gill Sans MT" w:hAnsi="Gill Sans MT" w:cs="Calibri"/>
                <w:b/>
                <w:bCs/>
                <w:color w:val="FFFFFF"/>
              </w:rPr>
              <w:t>Contact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:rsidR="003716C4" w:rsidRPr="003716C4" w:rsidRDefault="003716C4" w:rsidP="003716C4">
            <w:pPr>
              <w:jc w:val="center"/>
              <w:rPr>
                <w:rFonts w:ascii="Gill Sans MT" w:hAnsi="Gill Sans MT" w:cs="Calibri"/>
                <w:color w:val="000000"/>
                <w:sz w:val="22"/>
                <w:szCs w:val="22"/>
              </w:rPr>
            </w:pPr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>Jeff Lucas, Program Consultant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F2FF"/>
            <w:vAlign w:val="center"/>
            <w:hideMark/>
          </w:tcPr>
          <w:p w:rsidR="003716C4" w:rsidRPr="003716C4" w:rsidRDefault="003716C4" w:rsidP="003716C4">
            <w:pPr>
              <w:jc w:val="center"/>
              <w:rPr>
                <w:rFonts w:ascii="Gill Sans MT" w:hAnsi="Gill Sans MT" w:cs="Calibri"/>
                <w:color w:val="000000"/>
                <w:sz w:val="22"/>
                <w:szCs w:val="22"/>
              </w:rPr>
            </w:pPr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>Office: 707-279-1540 ext. 200</w:t>
            </w:r>
          </w:p>
        </w:tc>
      </w:tr>
      <w:tr w:rsidR="003716C4" w:rsidRPr="003716C4" w:rsidTr="003716C4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C4" w:rsidRPr="003716C4" w:rsidRDefault="003716C4" w:rsidP="003716C4">
            <w:pPr>
              <w:rPr>
                <w:rFonts w:ascii="Gill Sans MT" w:hAnsi="Gill Sans MT" w:cs="Calibri"/>
                <w:b/>
                <w:bCs/>
                <w:color w:va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:rsidR="003716C4" w:rsidRPr="003716C4" w:rsidRDefault="003716C4" w:rsidP="003716C4">
            <w:pPr>
              <w:jc w:val="center"/>
              <w:rPr>
                <w:rFonts w:ascii="Gill Sans MT" w:hAnsi="Gill Sans MT" w:cs="Calibri"/>
                <w:color w:val="000000"/>
                <w:sz w:val="22"/>
                <w:szCs w:val="22"/>
              </w:rPr>
            </w:pPr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>Community Development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F2FF"/>
            <w:vAlign w:val="bottom"/>
            <w:hideMark/>
          </w:tcPr>
          <w:p w:rsidR="003716C4" w:rsidRPr="003716C4" w:rsidRDefault="003716C4" w:rsidP="003716C4">
            <w:pPr>
              <w:jc w:val="center"/>
              <w:rPr>
                <w:rFonts w:ascii="Gill Sans MT" w:hAnsi="Gill Sans MT" w:cs="Calibri"/>
                <w:color w:val="000000"/>
                <w:sz w:val="22"/>
                <w:szCs w:val="22"/>
              </w:rPr>
            </w:pPr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>Cell: 707-489-4943</w:t>
            </w:r>
          </w:p>
        </w:tc>
      </w:tr>
      <w:tr w:rsidR="003716C4" w:rsidRPr="003716C4" w:rsidTr="003716C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C4" w:rsidRPr="003716C4" w:rsidRDefault="003716C4" w:rsidP="003716C4">
            <w:pPr>
              <w:rPr>
                <w:rFonts w:ascii="Gill Sans MT" w:hAnsi="Gill Sans MT" w:cs="Calibri"/>
                <w:b/>
                <w:bCs/>
                <w:color w:va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F2FF"/>
            <w:vAlign w:val="bottom"/>
            <w:hideMark/>
          </w:tcPr>
          <w:p w:rsidR="003716C4" w:rsidRPr="003716C4" w:rsidRDefault="003716C4" w:rsidP="003716C4">
            <w:pPr>
              <w:jc w:val="center"/>
              <w:rPr>
                <w:rFonts w:ascii="Gill Sans MT" w:hAnsi="Gill Sans MT" w:cs="Calibri"/>
                <w:color w:val="000000"/>
                <w:sz w:val="22"/>
                <w:szCs w:val="22"/>
              </w:rPr>
            </w:pPr>
            <w:r w:rsidRPr="003716C4">
              <w:rPr>
                <w:rFonts w:ascii="Gill Sans MT" w:hAnsi="Gill Sans MT" w:cs="Calibri"/>
                <w:color w:val="000000"/>
                <w:sz w:val="22"/>
                <w:szCs w:val="22"/>
              </w:rPr>
              <w:t>3895 Main Street, Kelseyville,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:rsidR="003716C4" w:rsidRPr="003716C4" w:rsidRDefault="003B339A" w:rsidP="003716C4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0" w:history="1">
              <w:r w:rsidR="00FC1B8E" w:rsidRPr="002845F2">
                <w:rPr>
                  <w:rStyle w:val="Hyperlink"/>
                  <w:rFonts w:ascii="Calibri" w:hAnsi="Calibri" w:cs="Calibri"/>
                  <w:sz w:val="22"/>
                  <w:szCs w:val="22"/>
                </w:rPr>
                <w:t>Email: jeff@cds.consulting</w:t>
              </w:r>
            </w:hyperlink>
          </w:p>
        </w:tc>
      </w:tr>
    </w:tbl>
    <w:p w:rsidR="005E3C42" w:rsidRDefault="005E3C42" w:rsidP="0036429D">
      <w:pPr>
        <w:spacing w:after="120"/>
        <w:ind w:right="360"/>
        <w:rPr>
          <w:rFonts w:ascii="Gill Sans MT" w:hAnsi="Gill Sans MT"/>
          <w:b/>
        </w:rPr>
      </w:pPr>
    </w:p>
    <w:p w:rsidR="00BA08F6" w:rsidRPr="0045278C" w:rsidRDefault="0045278C" w:rsidP="0045278C">
      <w:pPr>
        <w:jc w:val="center"/>
        <w:rPr>
          <w:rFonts w:ascii="Britannic Bold" w:hAnsi="Britannic Bold"/>
          <w:sz w:val="52"/>
        </w:rPr>
      </w:pPr>
      <w:r w:rsidRPr="00FC1B8E">
        <w:rPr>
          <w:rFonts w:ascii="Britannic Bold" w:hAnsi="Britannic Bold"/>
          <w:noProof/>
          <w:sz w:val="44"/>
          <w:szCs w:val="52"/>
        </w:rPr>
        <w:lastRenderedPageBreak/>
        <w:drawing>
          <wp:anchor distT="0" distB="0" distL="114300" distR="114300" simplePos="0" relativeHeight="251665408" behindDoc="1" locked="0" layoutInCell="1" allowOverlap="1" wp14:anchorId="1F19650B" wp14:editId="2C461C02">
            <wp:simplePos x="0" y="0"/>
            <wp:positionH relativeFrom="margin">
              <wp:posOffset>-76200</wp:posOffset>
            </wp:positionH>
            <wp:positionV relativeFrom="paragraph">
              <wp:posOffset>426720</wp:posOffset>
            </wp:positionV>
            <wp:extent cx="1200150" cy="1200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489777212478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B8E">
        <w:rPr>
          <w:noProof/>
          <w:sz w:val="44"/>
          <w:szCs w:val="52"/>
        </w:rPr>
        <w:drawing>
          <wp:anchor distT="0" distB="0" distL="114300" distR="114300" simplePos="0" relativeHeight="251664384" behindDoc="1" locked="0" layoutInCell="1" allowOverlap="1" wp14:anchorId="18AD375F" wp14:editId="4831E54B">
            <wp:simplePos x="0" y="0"/>
            <wp:positionH relativeFrom="column">
              <wp:posOffset>5415915</wp:posOffset>
            </wp:positionH>
            <wp:positionV relativeFrom="paragraph">
              <wp:posOffset>449580</wp:posOffset>
            </wp:positionV>
            <wp:extent cx="1371600" cy="1111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an-approved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8F6" w:rsidRPr="00FC1B8E">
        <w:rPr>
          <w:rFonts w:ascii="Britannic Bold" w:hAnsi="Britannic Bold"/>
          <w:sz w:val="52"/>
        </w:rPr>
        <w:t>CDBG Business Assistance &amp; Microenterprise Financial Assistance Workshop</w:t>
      </w:r>
    </w:p>
    <w:p w:rsidR="00BA08F6" w:rsidRPr="0045278C" w:rsidRDefault="00BA08F6" w:rsidP="00BA08F6">
      <w:pPr>
        <w:jc w:val="center"/>
        <w:rPr>
          <w:rFonts w:ascii="Gill Sans MT" w:hAnsi="Gill Sans MT"/>
          <w:b/>
          <w:color w:val="262626" w:themeColor="text1" w:themeTint="D9"/>
          <w:sz w:val="2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A08F6" w:rsidRPr="003F5434" w:rsidRDefault="003B339A" w:rsidP="00BA08F6">
      <w:pPr>
        <w:jc w:val="center"/>
        <w:rPr>
          <w:rFonts w:ascii="Britannic Bold" w:hAnsi="Britannic Bold"/>
          <w:sz w:val="44"/>
          <w:szCs w:val="44"/>
        </w:rPr>
      </w:pPr>
      <w:proofErr w:type="gramStart"/>
      <w:r w:rsidRPr="003B339A">
        <w:rPr>
          <w:rFonts w:ascii="Bradley Hand ITC" w:hAnsi="Bradley Hand ITC"/>
          <w:b/>
          <w:color w:val="FF0000"/>
          <w:sz w:val="36"/>
          <w:szCs w:val="44"/>
        </w:rPr>
        <w:t>ha</w:t>
      </w:r>
      <w:proofErr w:type="gramEnd"/>
      <w:r w:rsidRPr="003B339A">
        <w:rPr>
          <w:rFonts w:ascii="Bradley Hand ITC" w:hAnsi="Bradley Hand ITC"/>
          <w:b/>
          <w:color w:val="FF0000"/>
          <w:sz w:val="36"/>
          <w:szCs w:val="44"/>
        </w:rPr>
        <w:t xml:space="preserve"> </w:t>
      </w:r>
      <w:proofErr w:type="spellStart"/>
      <w:r w:rsidRPr="003B339A">
        <w:rPr>
          <w:rFonts w:ascii="Bradley Hand ITC" w:hAnsi="Bradley Hand ITC"/>
          <w:b/>
          <w:color w:val="FF0000"/>
          <w:sz w:val="36"/>
          <w:szCs w:val="44"/>
        </w:rPr>
        <w:t>sido</w:t>
      </w:r>
      <w:proofErr w:type="spellEnd"/>
      <w:r w:rsidRPr="003B339A">
        <w:rPr>
          <w:rFonts w:ascii="Bradley Hand ITC" w:hAnsi="Bradley Hand ITC"/>
          <w:b/>
          <w:color w:val="FF0000"/>
          <w:sz w:val="36"/>
          <w:szCs w:val="44"/>
        </w:rPr>
        <w:t xml:space="preserve"> </w:t>
      </w:r>
      <w:proofErr w:type="spellStart"/>
      <w:r w:rsidRPr="003B339A">
        <w:rPr>
          <w:rFonts w:ascii="Bradley Hand ITC" w:hAnsi="Bradley Hand ITC"/>
          <w:b/>
          <w:color w:val="FF0000"/>
          <w:sz w:val="36"/>
          <w:szCs w:val="44"/>
        </w:rPr>
        <w:t>trasladado</w:t>
      </w:r>
      <w:proofErr w:type="spellEnd"/>
      <w:r w:rsidRPr="003B339A">
        <w:rPr>
          <w:rFonts w:ascii="Bradley Hand ITC" w:hAnsi="Bradley Hand ITC"/>
          <w:b/>
          <w:color w:val="FF0000"/>
          <w:sz w:val="36"/>
          <w:szCs w:val="44"/>
        </w:rPr>
        <w:t xml:space="preserve"> a:</w:t>
      </w:r>
      <w:r w:rsidRPr="003B339A">
        <w:rPr>
          <w:rFonts w:ascii="Britannic Bold" w:hAnsi="Britannic Bold"/>
          <w:color w:val="FF0000"/>
          <w:sz w:val="36"/>
          <w:szCs w:val="44"/>
        </w:rPr>
        <w:t xml:space="preserve"> </w:t>
      </w:r>
      <w:r>
        <w:rPr>
          <w:rFonts w:ascii="Britannic Bold" w:hAnsi="Britannic Bold"/>
          <w:sz w:val="36"/>
          <w:szCs w:val="44"/>
        </w:rPr>
        <w:t>Viernes 12</w:t>
      </w:r>
      <w:r w:rsidR="00BA08F6">
        <w:rPr>
          <w:rFonts w:ascii="Britannic Bold" w:hAnsi="Britannic Bold"/>
          <w:sz w:val="36"/>
          <w:szCs w:val="44"/>
        </w:rPr>
        <w:t xml:space="preserve"> de </w:t>
      </w:r>
      <w:proofErr w:type="spellStart"/>
      <w:r w:rsidR="00BA08F6">
        <w:rPr>
          <w:rFonts w:ascii="Britannic Bold" w:hAnsi="Britannic Bold"/>
          <w:sz w:val="36"/>
          <w:szCs w:val="44"/>
        </w:rPr>
        <w:t>abril</w:t>
      </w:r>
      <w:proofErr w:type="spellEnd"/>
      <w:r w:rsidR="00BA08F6" w:rsidRPr="00FC1B8E">
        <w:rPr>
          <w:rFonts w:ascii="Britannic Bold" w:hAnsi="Britannic Bold"/>
          <w:sz w:val="36"/>
          <w:szCs w:val="44"/>
        </w:rPr>
        <w:t xml:space="preserve"> 2024</w:t>
      </w:r>
      <w:r w:rsidR="00BA08F6" w:rsidRPr="00FC1B8E">
        <w:rPr>
          <w:rFonts w:ascii="Britannic Bold" w:hAnsi="Britannic Bold"/>
          <w:sz w:val="40"/>
          <w:szCs w:val="44"/>
        </w:rPr>
        <w:t xml:space="preserve"> </w:t>
      </w:r>
    </w:p>
    <w:p w:rsidR="00BA08F6" w:rsidRDefault="00BA08F6" w:rsidP="00BA08F6">
      <w:pPr>
        <w:jc w:val="center"/>
        <w:rPr>
          <w:rFonts w:ascii="Britannic Bold" w:hAnsi="Britannic Bold"/>
          <w:sz w:val="40"/>
          <w:szCs w:val="40"/>
        </w:rPr>
      </w:pPr>
      <w:proofErr w:type="gramStart"/>
      <w:r>
        <w:rPr>
          <w:rFonts w:ascii="Britannic Bold" w:hAnsi="Britannic Bold"/>
          <w:sz w:val="36"/>
          <w:szCs w:val="40"/>
        </w:rPr>
        <w:t>de</w:t>
      </w:r>
      <w:proofErr w:type="gramEnd"/>
      <w:r>
        <w:rPr>
          <w:rFonts w:ascii="Britannic Bold" w:hAnsi="Britannic Bold"/>
          <w:sz w:val="36"/>
          <w:szCs w:val="40"/>
        </w:rPr>
        <w:t xml:space="preserve"> 5:30 PM a</w:t>
      </w:r>
      <w:r w:rsidRPr="00FC1B8E">
        <w:rPr>
          <w:rFonts w:ascii="Britannic Bold" w:hAnsi="Britannic Bold"/>
          <w:sz w:val="36"/>
          <w:szCs w:val="40"/>
        </w:rPr>
        <w:t xml:space="preserve"> 6:30 PM</w:t>
      </w:r>
    </w:p>
    <w:p w:rsidR="00BA08F6" w:rsidRPr="009D3AD4" w:rsidRDefault="00BA08F6" w:rsidP="00BA08F6">
      <w:pPr>
        <w:jc w:val="center"/>
        <w:rPr>
          <w:rFonts w:ascii="Gill Sans MT" w:hAnsi="Gill Sans MT"/>
          <w:b/>
          <w:sz w:val="8"/>
          <w:szCs w:val="8"/>
        </w:rPr>
      </w:pPr>
    </w:p>
    <w:p w:rsidR="00BA08F6" w:rsidRPr="00BA08F6" w:rsidRDefault="00BA08F6" w:rsidP="00BA08F6">
      <w:pPr>
        <w:jc w:val="center"/>
        <w:rPr>
          <w:rFonts w:ascii="Britannic Bold" w:hAnsi="Britannic Bold"/>
          <w:sz w:val="28"/>
        </w:rPr>
      </w:pPr>
      <w:r w:rsidRPr="00BA08F6">
        <w:rPr>
          <w:rFonts w:ascii="Britannic Bold" w:hAnsi="Britannic Bold"/>
          <w:sz w:val="28"/>
        </w:rPr>
        <w:t xml:space="preserve">El taller </w:t>
      </w:r>
      <w:proofErr w:type="gramStart"/>
      <w:r w:rsidRPr="00BA08F6">
        <w:rPr>
          <w:rFonts w:ascii="Britannic Bold" w:hAnsi="Britannic Bold"/>
          <w:sz w:val="28"/>
        </w:rPr>
        <w:t xml:space="preserve">se </w:t>
      </w:r>
      <w:proofErr w:type="spellStart"/>
      <w:r w:rsidRPr="00BA08F6">
        <w:rPr>
          <w:rFonts w:ascii="Britannic Bold" w:hAnsi="Britannic Bold"/>
          <w:sz w:val="28"/>
        </w:rPr>
        <w:t>realizará</w:t>
      </w:r>
      <w:proofErr w:type="spellEnd"/>
      <w:r w:rsidRPr="00BA08F6">
        <w:rPr>
          <w:rFonts w:ascii="Britannic Bold" w:hAnsi="Britannic Bold"/>
          <w:sz w:val="28"/>
        </w:rPr>
        <w:t xml:space="preserve"> </w:t>
      </w:r>
      <w:proofErr w:type="spellStart"/>
      <w:r w:rsidRPr="00BA08F6">
        <w:rPr>
          <w:rFonts w:ascii="Britannic Bold" w:hAnsi="Britannic Bold"/>
          <w:sz w:val="28"/>
        </w:rPr>
        <w:t>en</w:t>
      </w:r>
      <w:proofErr w:type="spellEnd"/>
      <w:r w:rsidRPr="00BA08F6">
        <w:rPr>
          <w:rFonts w:ascii="Britannic Bold" w:hAnsi="Britannic Bold"/>
          <w:sz w:val="28"/>
        </w:rPr>
        <w:t xml:space="preserve"> el</w:t>
      </w:r>
      <w:proofErr w:type="gramEnd"/>
      <w:r w:rsidRPr="00BA08F6">
        <w:rPr>
          <w:rFonts w:ascii="Britannic Bold" w:hAnsi="Britannic Bold"/>
          <w:sz w:val="28"/>
        </w:rPr>
        <w:t xml:space="preserve"> </w:t>
      </w:r>
      <w:proofErr w:type="spellStart"/>
      <w:r w:rsidRPr="00BA08F6">
        <w:rPr>
          <w:rFonts w:ascii="Britannic Bold" w:hAnsi="Britannic Bold"/>
          <w:sz w:val="28"/>
        </w:rPr>
        <w:t>Ayuntamiento</w:t>
      </w:r>
      <w:proofErr w:type="spellEnd"/>
    </w:p>
    <w:p w:rsidR="00BA08F6" w:rsidRPr="00BA08F6" w:rsidRDefault="00BA08F6" w:rsidP="00BA08F6">
      <w:pPr>
        <w:spacing w:line="276" w:lineRule="auto"/>
        <w:ind w:left="293" w:right="382"/>
        <w:jc w:val="center"/>
        <w:rPr>
          <w:rFonts w:ascii="Britannic Bold" w:hAnsi="Britannic Bold"/>
        </w:rPr>
      </w:pPr>
      <w:proofErr w:type="spellStart"/>
      <w:r w:rsidRPr="00BA08F6">
        <w:rPr>
          <w:rFonts w:ascii="Britannic Bold" w:hAnsi="Britannic Bold"/>
          <w:w w:val="105"/>
        </w:rPr>
        <w:t>Ayuntamiento</w:t>
      </w:r>
      <w:proofErr w:type="spellEnd"/>
      <w:r w:rsidRPr="00BA08F6">
        <w:rPr>
          <w:rFonts w:ascii="Britannic Bold" w:hAnsi="Britannic Bold"/>
          <w:w w:val="105"/>
        </w:rPr>
        <w:t>: 363 N Main St</w:t>
      </w:r>
      <w:bookmarkStart w:id="1" w:name="Fort_Bragg,_CA_95437"/>
      <w:bookmarkEnd w:id="1"/>
      <w:r w:rsidRPr="00BA08F6">
        <w:rPr>
          <w:rFonts w:ascii="Britannic Bold" w:hAnsi="Britannic Bold"/>
          <w:w w:val="105"/>
        </w:rPr>
        <w:t xml:space="preserve">., </w:t>
      </w:r>
      <w:r w:rsidRPr="00BA08F6">
        <w:rPr>
          <w:rFonts w:ascii="Britannic Bold" w:hAnsi="Britannic Bold"/>
        </w:rPr>
        <w:t>Fort Bragg, CA 95437</w:t>
      </w:r>
    </w:p>
    <w:p w:rsidR="00BA08F6" w:rsidRDefault="00BA08F6" w:rsidP="00BA08F6">
      <w:pPr>
        <w:jc w:val="center"/>
        <w:rPr>
          <w:rFonts w:ascii="Britannic Bold" w:hAnsi="Britannic Bold"/>
          <w:sz w:val="18"/>
        </w:rPr>
      </w:pPr>
      <w:r>
        <w:rPr>
          <w:rFonts w:ascii="Britannic Bold" w:hAnsi="Britannic Bold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364769" wp14:editId="665E66D3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934200" cy="4476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447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BA08F6" w:rsidRPr="007572DE" w:rsidRDefault="001154A9" w:rsidP="001154A9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 xml:space="preserve">Los </w:t>
                            </w:r>
                            <w:proofErr w:type="spellStart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>actuales</w:t>
                            </w:r>
                            <w:proofErr w:type="spellEnd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>programas</w:t>
                            </w:r>
                            <w:proofErr w:type="spellEnd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>préstamos</w:t>
                            </w:r>
                            <w:proofErr w:type="spellEnd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>comerciales</w:t>
                            </w:r>
                            <w:proofErr w:type="spellEnd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 xml:space="preserve"> CDBG de la Ciudad </w:t>
                            </w:r>
                            <w:proofErr w:type="spellStart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>expirarán</w:t>
                            </w:r>
                            <w:proofErr w:type="spellEnd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>pronto</w:t>
                            </w:r>
                            <w:proofErr w:type="gramEnd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>. ¡</w:t>
                            </w:r>
                            <w:proofErr w:type="spellStart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>Aproveche</w:t>
                            </w:r>
                            <w:proofErr w:type="spellEnd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>esta</w:t>
                            </w:r>
                            <w:proofErr w:type="spellEnd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>oportunidad</w:t>
                            </w:r>
                            <w:proofErr w:type="spellEnd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>mientras</w:t>
                            </w:r>
                            <w:proofErr w:type="spellEnd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>fondos</w:t>
                            </w:r>
                            <w:proofErr w:type="spellEnd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>disponibles</w:t>
                            </w:r>
                            <w:proofErr w:type="spellEnd"/>
                            <w:r w:rsidRPr="007572DE">
                              <w:rPr>
                                <w:rFonts w:ascii="Castellar" w:hAnsi="Castellar"/>
                                <w:sz w:val="20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64769" id="Text Box 3" o:spid="_x0000_s1027" type="#_x0000_t202" style="position:absolute;left:0;text-align:left;margin-left:494.8pt;margin-top:3.05pt;width:546pt;height:35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UNWAIAAKkEAAAOAAAAZHJzL2Uyb0RvYy54bWysVE2P2jAQvVfqf7B8L+EjQBcRVpQVVaXt&#10;7kpQ7dk4Nolke1zbkNBf37EDLNr2VPVixjOT8cx7b5jft1qRo3C+BlPQQa9PiTAcytrsC/pju/70&#10;mRIfmCmZAiMKehKe3i8+fpg3diaGUIEqhSNYxPhZYwtahWBnWeZ5JTTzPbDCYFCC0yzg1e2z0rEG&#10;q2uVDfv9SdaAK60DLrxH70MXpItUX0rBw7OUXgSiCoq9hXS6dO7imS3mbLZ3zFY1P7fB/qELzWqD&#10;j15LPbDAyMHVf5TSNXfgQYYeB52BlDUXaQacZtB/N82mYlakWRAcb68w+f9Xlj8dXxypy4KOKDFM&#10;I0Vb0QbyBVoyiug01s8waWMxLbToRpYvfo/OOHQrnY6/OA7BOOJ8umIbi3F0Tu5GORJGCcdYnk8n&#10;03Esk719bZ0PXwVoEo2COuQuQcqOjz50qZeU+JiBda1U4k8Z0hR0OM6xfgx5UHUZo+kSpSRWypEj&#10;QxEwzoUJo5SnDvo7lJ1/Ou7j190zSX3xk9TfTTXsVhl0RlC64aMV2l2bILwCs4PyhHg56PTmLV/X&#10;ONQj8+GFORQY4oBLE57xkAqweThblFTgfv3NH/ORd4xS0qBgC+p/HpgTlKhvBhVxN8jzqPB0ycfT&#10;IV7cbWR3GzEHvQKEY4DraXkyY35QF1M60K+4W8v4KoaY4fh2QcPFXIVujXA3uVguUxJq2rLwaDaW&#10;x9IR/kjZtn1lzp55DaiIJ7hIm83e0dvldgQvDwFknbiPOHeonuHHfUjsnHc3LtztPWW9/cMsfgMA&#10;AP//AwBQSwMEFAAGAAgAAAAhAMQ1nBHcAAAABgEAAA8AAABkcnMvZG93bnJldi54bWxMj8FOwzAQ&#10;RO9I/IO1SNyo3apKS8imQkiAuCBRuOTm2lsnbWxHttuEv8c90ePOjGbeVpvJ9uxMIXbeIcxnAhg5&#10;5XXnDMLP9+vDGlhM0mnZe0cIvxRhU9/eVLLUfnRfdN4mw3KJi6VEaFMaSs6jasnKOPMDueztfbAy&#10;5TMYroMcc7nt+UKIglvZubzQyoFeWlLH7ckiLMVRmWUzjUGZ99VhHZvPt48G8f5uen4ClmhK/2G4&#10;4Gd0qDPTzp+cjqxHyI8khGIO7GKKx0UWdgirogBeV/wav/4DAAD//wMAUEsBAi0AFAAGAAgAAAAh&#10;ALaDOJL+AAAA4QEAABMAAAAAAAAAAAAAAAAAAAAAAFtDb250ZW50X1R5cGVzXS54bWxQSwECLQAU&#10;AAYACAAAACEAOP0h/9YAAACUAQAACwAAAAAAAAAAAAAAAAAvAQAAX3JlbHMvLnJlbHNQSwECLQAU&#10;AAYACAAAACEATE1lDVgCAACpBAAADgAAAAAAAAAAAAAAAAAuAgAAZHJzL2Uyb0RvYy54bWxQSwEC&#10;LQAUAAYACAAAACEAxDWcEdwAAAAGAQAADwAAAAAAAAAAAAAAAACyBAAAZHJzL2Rvd25yZXYueG1s&#10;UEsFBgAAAAAEAAQA8wAAALsFAAAAAA==&#10;" filled="f" strokecolor="#4a9a82 [2406]" strokeweight="2pt">
                <v:textbox>
                  <w:txbxContent>
                    <w:p w:rsidR="00BA08F6" w:rsidRPr="007572DE" w:rsidRDefault="001154A9" w:rsidP="001154A9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 xml:space="preserve">Los </w:t>
                      </w:r>
                      <w:proofErr w:type="spellStart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>actuales</w:t>
                      </w:r>
                      <w:proofErr w:type="spellEnd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>programas</w:t>
                      </w:r>
                      <w:proofErr w:type="spellEnd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 xml:space="preserve"> de </w:t>
                      </w:r>
                      <w:proofErr w:type="spellStart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>préstamos</w:t>
                      </w:r>
                      <w:proofErr w:type="spellEnd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>comerciales</w:t>
                      </w:r>
                      <w:proofErr w:type="spellEnd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 xml:space="preserve"> CDBG de la Ciudad </w:t>
                      </w:r>
                      <w:proofErr w:type="spellStart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>expirarán</w:t>
                      </w:r>
                      <w:proofErr w:type="spellEnd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 xml:space="preserve"> </w:t>
                      </w:r>
                      <w:proofErr w:type="gramStart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>pronto</w:t>
                      </w:r>
                      <w:proofErr w:type="gramEnd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>. ¡</w:t>
                      </w:r>
                      <w:proofErr w:type="spellStart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>Aproveche</w:t>
                      </w:r>
                      <w:proofErr w:type="spellEnd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>esta</w:t>
                      </w:r>
                      <w:proofErr w:type="spellEnd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>oportunidad</w:t>
                      </w:r>
                      <w:proofErr w:type="spellEnd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>mientras</w:t>
                      </w:r>
                      <w:proofErr w:type="spellEnd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>haya</w:t>
                      </w:r>
                      <w:proofErr w:type="spellEnd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>fondos</w:t>
                      </w:r>
                      <w:proofErr w:type="spellEnd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>disponibles</w:t>
                      </w:r>
                      <w:proofErr w:type="spellEnd"/>
                      <w:r w:rsidRPr="007572DE">
                        <w:rPr>
                          <w:rFonts w:ascii="Castellar" w:hAnsi="Castellar"/>
                          <w:sz w:val="20"/>
                          <w:szCs w:val="22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08F6" w:rsidRPr="001154A9" w:rsidRDefault="00BA08F6" w:rsidP="00BA08F6">
      <w:pPr>
        <w:jc w:val="center"/>
        <w:rPr>
          <w:rFonts w:ascii="Britannic Bold" w:hAnsi="Britannic Bold"/>
        </w:rPr>
      </w:pPr>
    </w:p>
    <w:p w:rsidR="00BA08F6" w:rsidRPr="00A575BD" w:rsidRDefault="00BA08F6" w:rsidP="00BA08F6">
      <w:pPr>
        <w:jc w:val="center"/>
        <w:rPr>
          <w:rFonts w:ascii="Britannic Bold" w:hAnsi="Britannic Bold"/>
        </w:rPr>
      </w:pPr>
    </w:p>
    <w:p w:rsidR="00BA08F6" w:rsidRPr="001154A9" w:rsidRDefault="00BA08F6" w:rsidP="00BA08F6">
      <w:pPr>
        <w:jc w:val="center"/>
        <w:rPr>
          <w:rFonts w:ascii="Castellar" w:hAnsi="Castellar"/>
          <w:sz w:val="2"/>
          <w:szCs w:val="26"/>
        </w:rPr>
      </w:pPr>
    </w:p>
    <w:p w:rsidR="007572DE" w:rsidRPr="007572DE" w:rsidRDefault="007572DE" w:rsidP="00095107">
      <w:pPr>
        <w:ind w:right="774"/>
        <w:rPr>
          <w:rFonts w:ascii="Gill Sans MT" w:hAnsi="Gill Sans MT"/>
          <w:sz w:val="8"/>
          <w:szCs w:val="22"/>
        </w:rPr>
      </w:pPr>
    </w:p>
    <w:p w:rsidR="00095107" w:rsidRPr="007572DE" w:rsidRDefault="00095107" w:rsidP="00095107">
      <w:pPr>
        <w:ind w:right="774"/>
        <w:rPr>
          <w:rFonts w:ascii="Gill Sans MT" w:hAnsi="Gill Sans MT"/>
          <w:sz w:val="22"/>
          <w:szCs w:val="22"/>
        </w:rPr>
      </w:pPr>
      <w:r w:rsidRPr="007572DE">
        <w:rPr>
          <w:rFonts w:ascii="Gill Sans MT" w:hAnsi="Gill Sans MT"/>
          <w:sz w:val="22"/>
          <w:szCs w:val="22"/>
        </w:rPr>
        <w:t xml:space="preserve">La ciudad de Fort Bragg </w:t>
      </w:r>
      <w:proofErr w:type="spellStart"/>
      <w:r w:rsidRPr="007572DE">
        <w:rPr>
          <w:rFonts w:ascii="Gill Sans MT" w:hAnsi="Gill Sans MT"/>
          <w:sz w:val="22"/>
          <w:szCs w:val="22"/>
        </w:rPr>
        <w:t>está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7572DE">
        <w:rPr>
          <w:rFonts w:ascii="Gill Sans MT" w:hAnsi="Gill Sans MT"/>
          <w:sz w:val="22"/>
          <w:szCs w:val="22"/>
        </w:rPr>
        <w:t>ofreciendo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</w:t>
      </w:r>
      <w:proofErr w:type="gramStart"/>
      <w:r w:rsidRPr="007572DE">
        <w:rPr>
          <w:rFonts w:ascii="Gill Sans MT" w:hAnsi="Gill Sans MT"/>
          <w:sz w:val="22"/>
          <w:szCs w:val="22"/>
        </w:rPr>
        <w:t>un</w:t>
      </w:r>
      <w:proofErr w:type="gramEnd"/>
      <w:r w:rsidRPr="007572DE">
        <w:rPr>
          <w:rFonts w:ascii="Gill Sans MT" w:hAnsi="Gill Sans MT"/>
          <w:sz w:val="22"/>
          <w:szCs w:val="22"/>
        </w:rPr>
        <w:t xml:space="preserve"> taller de </w:t>
      </w:r>
      <w:proofErr w:type="spellStart"/>
      <w:r w:rsidRPr="007572DE">
        <w:rPr>
          <w:rFonts w:ascii="Gill Sans MT" w:hAnsi="Gill Sans MT"/>
          <w:sz w:val="22"/>
          <w:szCs w:val="22"/>
        </w:rPr>
        <w:t>asistencia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7572DE">
        <w:rPr>
          <w:rFonts w:ascii="Gill Sans MT" w:hAnsi="Gill Sans MT"/>
          <w:sz w:val="22"/>
          <w:szCs w:val="22"/>
        </w:rPr>
        <w:t>empresarial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y </w:t>
      </w:r>
      <w:proofErr w:type="spellStart"/>
      <w:r w:rsidRPr="007572DE">
        <w:rPr>
          <w:rFonts w:ascii="Gill Sans MT" w:hAnsi="Gill Sans MT"/>
          <w:sz w:val="22"/>
          <w:szCs w:val="22"/>
        </w:rPr>
        <w:t>ayuda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7572DE">
        <w:rPr>
          <w:rFonts w:ascii="Gill Sans MT" w:hAnsi="Gill Sans MT"/>
          <w:sz w:val="22"/>
          <w:szCs w:val="22"/>
        </w:rPr>
        <w:t>financiera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a </w:t>
      </w:r>
      <w:proofErr w:type="spellStart"/>
      <w:r w:rsidRPr="007572DE">
        <w:rPr>
          <w:rFonts w:ascii="Gill Sans MT" w:hAnsi="Gill Sans MT"/>
          <w:sz w:val="22"/>
          <w:szCs w:val="22"/>
        </w:rPr>
        <w:t>microempresas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de Community Development Block Grant (CDBG) para </w:t>
      </w:r>
      <w:proofErr w:type="spellStart"/>
      <w:r w:rsidRPr="007572DE">
        <w:rPr>
          <w:rFonts w:ascii="Gill Sans MT" w:hAnsi="Gill Sans MT"/>
          <w:sz w:val="22"/>
          <w:szCs w:val="22"/>
        </w:rPr>
        <w:t>empresas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locales.</w:t>
      </w:r>
    </w:p>
    <w:p w:rsidR="00095107" w:rsidRPr="007572DE" w:rsidRDefault="00095107" w:rsidP="00095107">
      <w:pPr>
        <w:ind w:right="774"/>
        <w:rPr>
          <w:rFonts w:ascii="Gill Sans MT" w:hAnsi="Gill Sans MT"/>
          <w:sz w:val="6"/>
          <w:szCs w:val="22"/>
        </w:rPr>
      </w:pPr>
    </w:p>
    <w:p w:rsidR="00095107" w:rsidRPr="007572DE" w:rsidRDefault="00095107" w:rsidP="00095107">
      <w:pPr>
        <w:ind w:right="617"/>
        <w:rPr>
          <w:rFonts w:ascii="Gill Sans MT" w:hAnsi="Gill Sans MT"/>
          <w:sz w:val="22"/>
          <w:szCs w:val="22"/>
        </w:rPr>
      </w:pPr>
      <w:proofErr w:type="spellStart"/>
      <w:r w:rsidRPr="007572DE">
        <w:rPr>
          <w:rFonts w:ascii="Gill Sans MT" w:hAnsi="Gill Sans MT"/>
          <w:sz w:val="22"/>
          <w:szCs w:val="22"/>
        </w:rPr>
        <w:t>Tenga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7572DE">
        <w:rPr>
          <w:rFonts w:ascii="Gill Sans MT" w:hAnsi="Gill Sans MT"/>
          <w:sz w:val="22"/>
          <w:szCs w:val="22"/>
        </w:rPr>
        <w:t>en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7572DE">
        <w:rPr>
          <w:rFonts w:ascii="Gill Sans MT" w:hAnsi="Gill Sans MT"/>
          <w:sz w:val="22"/>
          <w:szCs w:val="22"/>
        </w:rPr>
        <w:t>cuenta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que </w:t>
      </w:r>
      <w:proofErr w:type="spellStart"/>
      <w:r w:rsidRPr="007572DE">
        <w:rPr>
          <w:rFonts w:ascii="Gill Sans MT" w:hAnsi="Gill Sans MT"/>
          <w:sz w:val="22"/>
          <w:szCs w:val="22"/>
        </w:rPr>
        <w:t>cualquier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persona </w:t>
      </w:r>
      <w:proofErr w:type="spellStart"/>
      <w:r w:rsidRPr="007572DE">
        <w:rPr>
          <w:rFonts w:ascii="Gill Sans MT" w:hAnsi="Gill Sans MT"/>
          <w:sz w:val="22"/>
          <w:szCs w:val="22"/>
        </w:rPr>
        <w:t>puede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7572DE">
        <w:rPr>
          <w:rFonts w:ascii="Gill Sans MT" w:hAnsi="Gill Sans MT"/>
          <w:sz w:val="22"/>
          <w:szCs w:val="22"/>
        </w:rPr>
        <w:t>asistir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al taller, solo las </w:t>
      </w:r>
      <w:proofErr w:type="spellStart"/>
      <w:r w:rsidRPr="007572DE">
        <w:rPr>
          <w:rFonts w:ascii="Gill Sans MT" w:hAnsi="Gill Sans MT"/>
          <w:sz w:val="22"/>
          <w:szCs w:val="22"/>
        </w:rPr>
        <w:t>empresas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7572DE">
        <w:rPr>
          <w:rFonts w:ascii="Gill Sans MT" w:hAnsi="Gill Sans MT"/>
          <w:sz w:val="22"/>
          <w:szCs w:val="22"/>
        </w:rPr>
        <w:t>dentro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de </w:t>
      </w:r>
      <w:proofErr w:type="spellStart"/>
      <w:r w:rsidRPr="007572DE">
        <w:rPr>
          <w:rFonts w:ascii="Gill Sans MT" w:hAnsi="Gill Sans MT"/>
          <w:sz w:val="22"/>
          <w:szCs w:val="22"/>
        </w:rPr>
        <w:t>los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7572DE">
        <w:rPr>
          <w:rFonts w:ascii="Gill Sans MT" w:hAnsi="Gill Sans MT"/>
          <w:sz w:val="22"/>
          <w:szCs w:val="22"/>
        </w:rPr>
        <w:t>límites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de la Ciudad de Fort Bragg son </w:t>
      </w:r>
      <w:proofErr w:type="spellStart"/>
      <w:r w:rsidRPr="007572DE">
        <w:rPr>
          <w:rFonts w:ascii="Gill Sans MT" w:hAnsi="Gill Sans MT"/>
          <w:sz w:val="22"/>
          <w:szCs w:val="22"/>
        </w:rPr>
        <w:t>elegibles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 para </w:t>
      </w:r>
      <w:proofErr w:type="spellStart"/>
      <w:r w:rsidRPr="007572DE">
        <w:rPr>
          <w:rFonts w:ascii="Gill Sans MT" w:hAnsi="Gill Sans MT"/>
          <w:sz w:val="22"/>
          <w:szCs w:val="22"/>
        </w:rPr>
        <w:t>solicitar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el </w:t>
      </w:r>
      <w:proofErr w:type="spellStart"/>
      <w:r w:rsidRPr="007572DE">
        <w:rPr>
          <w:rFonts w:ascii="Gill Sans MT" w:hAnsi="Gill Sans MT"/>
          <w:sz w:val="22"/>
          <w:szCs w:val="22"/>
        </w:rPr>
        <w:t>Programa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de </w:t>
      </w:r>
      <w:proofErr w:type="spellStart"/>
      <w:r w:rsidRPr="007572DE">
        <w:rPr>
          <w:rFonts w:ascii="Gill Sans MT" w:hAnsi="Gill Sans MT"/>
          <w:sz w:val="22"/>
          <w:szCs w:val="22"/>
        </w:rPr>
        <w:t>Préstamo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de </w:t>
      </w:r>
      <w:proofErr w:type="spellStart"/>
      <w:r w:rsidRPr="007572DE">
        <w:rPr>
          <w:rFonts w:ascii="Gill Sans MT" w:hAnsi="Gill Sans MT"/>
          <w:sz w:val="22"/>
          <w:szCs w:val="22"/>
        </w:rPr>
        <w:t>Asistencia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7572DE">
        <w:rPr>
          <w:rFonts w:ascii="Gill Sans MT" w:hAnsi="Gill Sans MT"/>
          <w:sz w:val="22"/>
          <w:szCs w:val="22"/>
        </w:rPr>
        <w:t>Comercial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de la Ciudad.</w:t>
      </w:r>
    </w:p>
    <w:p w:rsidR="00095107" w:rsidRPr="007572DE" w:rsidRDefault="00095107" w:rsidP="00095107">
      <w:pPr>
        <w:ind w:right="617"/>
        <w:rPr>
          <w:rFonts w:ascii="Gill Sans MT" w:hAnsi="Gill Sans MT"/>
          <w:sz w:val="6"/>
          <w:szCs w:val="22"/>
        </w:rPr>
      </w:pPr>
    </w:p>
    <w:p w:rsidR="00BA08F6" w:rsidRDefault="00095107" w:rsidP="001154A9">
      <w:pPr>
        <w:ind w:right="5"/>
        <w:rPr>
          <w:rFonts w:ascii="Gill Sans MT" w:hAnsi="Gill Sans MT"/>
          <w:sz w:val="22"/>
          <w:szCs w:val="22"/>
        </w:rPr>
      </w:pPr>
      <w:r w:rsidRPr="007572DE">
        <w:rPr>
          <w:rFonts w:ascii="Gill Sans MT" w:hAnsi="Gill Sans MT"/>
          <w:sz w:val="22"/>
          <w:szCs w:val="22"/>
        </w:rPr>
        <w:t xml:space="preserve">Los </w:t>
      </w:r>
      <w:proofErr w:type="spellStart"/>
      <w:r w:rsidRPr="007572DE">
        <w:rPr>
          <w:rFonts w:ascii="Gill Sans MT" w:hAnsi="Gill Sans MT"/>
          <w:sz w:val="22"/>
          <w:szCs w:val="22"/>
        </w:rPr>
        <w:t>programas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7572DE">
        <w:rPr>
          <w:rFonts w:ascii="Gill Sans MT" w:hAnsi="Gill Sans MT"/>
          <w:sz w:val="22"/>
          <w:szCs w:val="22"/>
        </w:rPr>
        <w:t>están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7572DE">
        <w:rPr>
          <w:rFonts w:ascii="Gill Sans MT" w:hAnsi="Gill Sans MT"/>
          <w:sz w:val="22"/>
          <w:szCs w:val="22"/>
        </w:rPr>
        <w:t>financiados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7572DE">
        <w:rPr>
          <w:rFonts w:ascii="Gill Sans MT" w:hAnsi="Gill Sans MT"/>
          <w:sz w:val="22"/>
          <w:szCs w:val="22"/>
        </w:rPr>
        <w:t>por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7572DE">
        <w:rPr>
          <w:rFonts w:ascii="Gill Sans MT" w:hAnsi="Gill Sans MT"/>
          <w:sz w:val="22"/>
          <w:szCs w:val="22"/>
        </w:rPr>
        <w:t>fondos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CDBG del </w:t>
      </w:r>
      <w:proofErr w:type="spellStart"/>
      <w:r w:rsidRPr="007572DE">
        <w:rPr>
          <w:rFonts w:ascii="Gill Sans MT" w:hAnsi="Gill Sans MT"/>
          <w:sz w:val="22"/>
          <w:szCs w:val="22"/>
        </w:rPr>
        <w:t>Departamento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de </w:t>
      </w:r>
      <w:proofErr w:type="spellStart"/>
      <w:r w:rsidRPr="007572DE">
        <w:rPr>
          <w:rFonts w:ascii="Gill Sans MT" w:hAnsi="Gill Sans MT"/>
          <w:sz w:val="22"/>
          <w:szCs w:val="22"/>
        </w:rPr>
        <w:t>Vivienda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y </w:t>
      </w:r>
      <w:proofErr w:type="spellStart"/>
      <w:r w:rsidRPr="007572DE">
        <w:rPr>
          <w:rFonts w:ascii="Gill Sans MT" w:hAnsi="Gill Sans MT"/>
          <w:sz w:val="22"/>
          <w:szCs w:val="22"/>
        </w:rPr>
        <w:t>Desarrollo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7572DE">
        <w:rPr>
          <w:rFonts w:ascii="Gill Sans MT" w:hAnsi="Gill Sans MT"/>
          <w:sz w:val="22"/>
          <w:szCs w:val="22"/>
        </w:rPr>
        <w:t>Comunitario</w:t>
      </w:r>
      <w:proofErr w:type="spellEnd"/>
      <w:r w:rsidRPr="007572DE">
        <w:rPr>
          <w:rFonts w:ascii="Gill Sans MT" w:hAnsi="Gill Sans MT"/>
          <w:sz w:val="22"/>
          <w:szCs w:val="22"/>
        </w:rPr>
        <w:t xml:space="preserve"> </w:t>
      </w:r>
      <w:proofErr w:type="gramStart"/>
      <w:r w:rsidRPr="007572DE">
        <w:rPr>
          <w:rFonts w:ascii="Gill Sans MT" w:hAnsi="Gill Sans MT"/>
          <w:sz w:val="22"/>
          <w:szCs w:val="22"/>
        </w:rPr>
        <w:t>del</w:t>
      </w:r>
      <w:proofErr w:type="gramEnd"/>
      <w:r w:rsidRPr="007572DE">
        <w:rPr>
          <w:rFonts w:ascii="Gill Sans MT" w:hAnsi="Gill Sans MT"/>
          <w:sz w:val="22"/>
          <w:szCs w:val="22"/>
        </w:rPr>
        <w:t xml:space="preserve"> Estado.</w:t>
      </w:r>
    </w:p>
    <w:p w:rsidR="007572DE" w:rsidRPr="007572DE" w:rsidRDefault="007572DE" w:rsidP="001154A9">
      <w:pPr>
        <w:ind w:right="5"/>
        <w:rPr>
          <w:rFonts w:ascii="Gill Sans MT" w:hAnsi="Gill Sans MT"/>
          <w:sz w:val="1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55"/>
        <w:gridCol w:w="4309"/>
        <w:gridCol w:w="4470"/>
      </w:tblGrid>
      <w:tr w:rsidR="00BA08F6" w:rsidRPr="0045278C" w:rsidTr="007572DE">
        <w:trPr>
          <w:trHeight w:val="7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228886"/>
            <w:vAlign w:val="center"/>
            <w:hideMark/>
          </w:tcPr>
          <w:p w:rsidR="00BA08F6" w:rsidRPr="0045278C" w:rsidRDefault="0045278C" w:rsidP="0045278C">
            <w:pPr>
              <w:jc w:val="center"/>
              <w:rPr>
                <w:rFonts w:ascii="Gill Sans MT" w:hAnsi="Gill Sans MT" w:cs="Calibri"/>
                <w:b/>
                <w:bCs/>
                <w:color w:val="FFFFFF"/>
                <w:sz w:val="22"/>
              </w:rPr>
            </w:pPr>
            <w:proofErr w:type="spellStart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>Propósito</w:t>
            </w:r>
            <w:proofErr w:type="spellEnd"/>
          </w:p>
        </w:tc>
        <w:tc>
          <w:tcPr>
            <w:tcW w:w="8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AF2F1"/>
            <w:vAlign w:val="center"/>
            <w:hideMark/>
          </w:tcPr>
          <w:p w:rsidR="00BA08F6" w:rsidRPr="0045278C" w:rsidRDefault="0045278C" w:rsidP="0045278C">
            <w:pPr>
              <w:rPr>
                <w:rFonts w:ascii="Gill Sans MT" w:hAnsi="Gill Sans MT" w:cs="Calibri"/>
                <w:color w:val="000000"/>
                <w:sz w:val="22"/>
              </w:rPr>
            </w:pPr>
            <w:r w:rsidRPr="0045278C">
              <w:rPr>
                <w:rFonts w:ascii="Gill Sans MT" w:hAnsi="Gill Sans MT"/>
                <w:sz w:val="22"/>
              </w:rPr>
              <w:t xml:space="preserve">La ciudad de Fort Bragg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ofrece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préstamos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comerciales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financiados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con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subvenciones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en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bloque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para el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desarrollo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comunitario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(CDBG). </w:t>
            </w:r>
            <w:r w:rsidRPr="0045278C">
              <w:rPr>
                <w:rFonts w:ascii="Gill Sans MT" w:hAnsi="Gill Sans MT"/>
                <w:sz w:val="22"/>
              </w:rPr>
              <w:t xml:space="preserve">El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objetivo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</w:t>
            </w:r>
            <w:r w:rsidRPr="0045278C">
              <w:rPr>
                <w:rFonts w:ascii="Gill Sans MT" w:hAnsi="Gill Sans MT"/>
                <w:sz w:val="22"/>
              </w:rPr>
              <w:t xml:space="preserve">de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estos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préstamos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comerciales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es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proporcionar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financiación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flexible </w:t>
            </w:r>
            <w:r w:rsidRPr="0045278C">
              <w:rPr>
                <w:rFonts w:ascii="Gill Sans MT" w:hAnsi="Gill Sans MT"/>
                <w:sz w:val="22"/>
              </w:rPr>
              <w:t xml:space="preserve">a las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empresas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</w:t>
            </w:r>
            <w:r w:rsidRPr="0045278C">
              <w:rPr>
                <w:rFonts w:ascii="Gill Sans MT" w:hAnsi="Gill Sans MT"/>
                <w:sz w:val="22"/>
              </w:rPr>
              <w:t xml:space="preserve">que, a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su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vez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,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crean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o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conservan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puestos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de</w:t>
            </w:r>
            <w:r w:rsidRPr="0045278C">
              <w:rPr>
                <w:rFonts w:ascii="Gill Sans MT" w:hAnsi="Gill Sans MT"/>
                <w:spacing w:val="-13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trabajo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>.</w:t>
            </w:r>
          </w:p>
        </w:tc>
      </w:tr>
      <w:tr w:rsidR="00BA08F6" w:rsidRPr="0045278C" w:rsidTr="007572DE">
        <w:trPr>
          <w:trHeight w:val="780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BA08F6" w:rsidRPr="0045278C" w:rsidRDefault="0045278C" w:rsidP="0045278C">
            <w:pPr>
              <w:jc w:val="center"/>
              <w:rPr>
                <w:rFonts w:ascii="Gill Sans MT" w:hAnsi="Gill Sans MT" w:cs="Calibri"/>
                <w:b/>
                <w:bCs/>
                <w:color w:val="FFFFFF"/>
                <w:sz w:val="22"/>
              </w:rPr>
            </w:pPr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 xml:space="preserve">Fuente de </w:t>
            </w:r>
            <w:proofErr w:type="spellStart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>financiamiento</w:t>
            </w:r>
            <w:proofErr w:type="spellEnd"/>
          </w:p>
        </w:tc>
        <w:tc>
          <w:tcPr>
            <w:tcW w:w="87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F2FF"/>
            <w:vAlign w:val="center"/>
            <w:hideMark/>
          </w:tcPr>
          <w:p w:rsidR="0045278C" w:rsidRPr="0045278C" w:rsidRDefault="0045278C" w:rsidP="0045278C">
            <w:pPr>
              <w:ind w:right="723"/>
              <w:rPr>
                <w:rFonts w:ascii="Gill Sans MT" w:hAnsi="Gill Sans MT"/>
                <w:sz w:val="22"/>
              </w:rPr>
            </w:pPr>
            <w:proofErr w:type="spellStart"/>
            <w:r w:rsidRPr="0045278C">
              <w:rPr>
                <w:rFonts w:ascii="Gill Sans MT" w:hAnsi="Gill Sans MT"/>
                <w:sz w:val="22"/>
              </w:rPr>
              <w:t>Departamento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de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Vivienda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y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Desarrollo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Comunitario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del Estado (HCD) y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Desarrollo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Comunitario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Subvención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en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bloque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(CDBG).</w:t>
            </w:r>
          </w:p>
          <w:p w:rsidR="00BA08F6" w:rsidRPr="0045278C" w:rsidRDefault="00BA08F6" w:rsidP="0045278C">
            <w:pPr>
              <w:rPr>
                <w:rFonts w:ascii="Gill Sans MT" w:hAnsi="Gill Sans MT" w:cs="Calibri"/>
                <w:color w:val="000000"/>
                <w:sz w:val="22"/>
              </w:rPr>
            </w:pPr>
          </w:p>
        </w:tc>
      </w:tr>
      <w:tr w:rsidR="00BA08F6" w:rsidRPr="0045278C" w:rsidTr="007572DE">
        <w:trPr>
          <w:trHeight w:val="780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08886"/>
            <w:vAlign w:val="center"/>
            <w:hideMark/>
          </w:tcPr>
          <w:p w:rsidR="00BA08F6" w:rsidRPr="0045278C" w:rsidRDefault="0045278C" w:rsidP="0045278C">
            <w:pPr>
              <w:jc w:val="center"/>
              <w:rPr>
                <w:rFonts w:ascii="Gill Sans MT" w:hAnsi="Gill Sans MT" w:cs="Calibri"/>
                <w:b/>
                <w:bCs/>
                <w:color w:val="FFFFFF"/>
                <w:sz w:val="22"/>
              </w:rPr>
            </w:pPr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 xml:space="preserve">Monto del </w:t>
            </w:r>
            <w:proofErr w:type="spellStart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>préstamo</w:t>
            </w:r>
            <w:proofErr w:type="spellEnd"/>
          </w:p>
        </w:tc>
        <w:tc>
          <w:tcPr>
            <w:tcW w:w="87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F2F1"/>
            <w:vAlign w:val="center"/>
            <w:hideMark/>
          </w:tcPr>
          <w:p w:rsidR="0045278C" w:rsidRPr="0045278C" w:rsidRDefault="0045278C" w:rsidP="0045278C">
            <w:pPr>
              <w:pStyle w:val="BodyText"/>
              <w:rPr>
                <w:rFonts w:ascii="Gill Sans MT" w:hAnsi="Gill Sans MT"/>
                <w:sz w:val="22"/>
                <w:szCs w:val="24"/>
              </w:rPr>
            </w:pPr>
            <w:r w:rsidRPr="0045278C">
              <w:rPr>
                <w:rFonts w:ascii="Gill Sans MT" w:hAnsi="Gill Sans MT"/>
                <w:position w:val="1"/>
                <w:sz w:val="22"/>
                <w:szCs w:val="24"/>
              </w:rPr>
              <w:t xml:space="preserve">De $25.0000 a $50,000 </w:t>
            </w:r>
            <w:proofErr w:type="spellStart"/>
            <w:proofErr w:type="gramStart"/>
            <w:r w:rsidRPr="0045278C">
              <w:rPr>
                <w:rFonts w:ascii="Gill Sans MT" w:hAnsi="Gill Sans MT"/>
                <w:position w:val="1"/>
                <w:sz w:val="22"/>
                <w:szCs w:val="24"/>
              </w:rPr>
              <w:t>dependiendo</w:t>
            </w:r>
            <w:proofErr w:type="spellEnd"/>
            <w:r w:rsidRPr="0045278C">
              <w:rPr>
                <w:rFonts w:ascii="Gill Sans MT" w:hAnsi="Gill Sans MT"/>
                <w:position w:val="1"/>
                <w:sz w:val="22"/>
                <w:szCs w:val="24"/>
              </w:rPr>
              <w:t xml:space="preserve">  de</w:t>
            </w:r>
            <w:proofErr w:type="gramEnd"/>
            <w:r w:rsidRPr="0045278C">
              <w:rPr>
                <w:rFonts w:ascii="Gill Sans MT" w:hAnsi="Gill Sans MT"/>
                <w:position w:val="1"/>
                <w:sz w:val="22"/>
                <w:szCs w:val="24"/>
              </w:rPr>
              <w:t xml:space="preserve">  </w:t>
            </w:r>
            <w:proofErr w:type="spellStart"/>
            <w:r w:rsidRPr="0045278C">
              <w:rPr>
                <w:rFonts w:ascii="Gill Sans MT" w:hAnsi="Gill Sans MT"/>
                <w:position w:val="1"/>
                <w:sz w:val="22"/>
                <w:szCs w:val="24"/>
              </w:rPr>
              <w:t>los</w:t>
            </w:r>
            <w:proofErr w:type="spellEnd"/>
            <w:r w:rsidRPr="0045278C">
              <w:rPr>
                <w:rFonts w:ascii="Gill Sans MT" w:hAnsi="Gill Sans MT"/>
                <w:position w:val="1"/>
                <w:sz w:val="22"/>
                <w:szCs w:val="24"/>
              </w:rPr>
              <w:t xml:space="preserve">  </w:t>
            </w:r>
            <w:proofErr w:type="spellStart"/>
            <w:r w:rsidRPr="0045278C">
              <w:rPr>
                <w:rFonts w:ascii="Gill Sans MT" w:hAnsi="Gill Sans MT"/>
                <w:position w:val="1"/>
                <w:sz w:val="22"/>
                <w:szCs w:val="24"/>
              </w:rPr>
              <w:t>fondos</w:t>
            </w:r>
            <w:proofErr w:type="spellEnd"/>
            <w:r w:rsidRPr="0045278C">
              <w:rPr>
                <w:rFonts w:ascii="Gill Sans MT" w:hAnsi="Gill Sans MT"/>
                <w:position w:val="1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position w:val="1"/>
                <w:sz w:val="22"/>
                <w:szCs w:val="24"/>
              </w:rPr>
              <w:t>disponibles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>.</w:t>
            </w:r>
          </w:p>
          <w:p w:rsidR="0045278C" w:rsidRPr="0045278C" w:rsidRDefault="0045278C" w:rsidP="0045278C">
            <w:pPr>
              <w:pStyle w:val="BodyText"/>
              <w:rPr>
                <w:rFonts w:ascii="Gill Sans MT" w:hAnsi="Gill Sans MT"/>
                <w:sz w:val="22"/>
                <w:szCs w:val="24"/>
              </w:rPr>
            </w:pPr>
          </w:p>
          <w:p w:rsidR="00BA08F6" w:rsidRPr="0045278C" w:rsidRDefault="00BA08F6" w:rsidP="0045278C">
            <w:pPr>
              <w:rPr>
                <w:rFonts w:ascii="Gill Sans MT" w:hAnsi="Gill Sans MT" w:cs="Calibri"/>
                <w:color w:val="000000"/>
                <w:sz w:val="22"/>
              </w:rPr>
            </w:pPr>
          </w:p>
        </w:tc>
      </w:tr>
      <w:tr w:rsidR="00BA08F6" w:rsidRPr="0045278C" w:rsidTr="007572DE">
        <w:trPr>
          <w:trHeight w:val="780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BA08F6" w:rsidRPr="0045278C" w:rsidRDefault="0045278C" w:rsidP="0045278C">
            <w:pPr>
              <w:jc w:val="center"/>
              <w:rPr>
                <w:rFonts w:ascii="Gill Sans MT" w:hAnsi="Gill Sans MT" w:cs="Calibri"/>
                <w:b/>
                <w:bCs/>
                <w:color w:val="FFFFFF"/>
                <w:sz w:val="22"/>
              </w:rPr>
            </w:pPr>
            <w:proofErr w:type="spellStart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>Tasas</w:t>
            </w:r>
            <w:proofErr w:type="spellEnd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 xml:space="preserve"> de </w:t>
            </w:r>
            <w:proofErr w:type="spellStart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>interés</w:t>
            </w:r>
            <w:proofErr w:type="spellEnd"/>
          </w:p>
        </w:tc>
        <w:tc>
          <w:tcPr>
            <w:tcW w:w="87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F2FF"/>
            <w:vAlign w:val="center"/>
            <w:hideMark/>
          </w:tcPr>
          <w:p w:rsidR="00BA08F6" w:rsidRPr="0045278C" w:rsidRDefault="0045278C" w:rsidP="0045278C">
            <w:pPr>
              <w:rPr>
                <w:rFonts w:ascii="Gill Sans MT" w:hAnsi="Gill Sans MT" w:cs="Calibri"/>
                <w:color w:val="000000"/>
                <w:sz w:val="22"/>
              </w:rPr>
            </w:pPr>
            <w:r w:rsidRPr="0045278C">
              <w:rPr>
                <w:rFonts w:ascii="Gill Sans MT" w:hAnsi="Gill Sans MT"/>
                <w:sz w:val="22"/>
              </w:rPr>
              <w:t xml:space="preserve">Tan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bajo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como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1.0%,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basado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en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las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necesidades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</w:t>
            </w:r>
            <w:r w:rsidRPr="0045278C">
              <w:rPr>
                <w:rFonts w:ascii="Gill Sans MT" w:hAnsi="Gill Sans MT"/>
                <w:sz w:val="22"/>
              </w:rPr>
              <w:t xml:space="preserve">de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flujo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</w:t>
            </w:r>
            <w:r w:rsidRPr="0045278C">
              <w:rPr>
                <w:rFonts w:ascii="Gill Sans MT" w:hAnsi="Gill Sans MT"/>
                <w:sz w:val="22"/>
              </w:rPr>
              <w:t xml:space="preserve">de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efectivo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</w:t>
            </w:r>
            <w:r w:rsidRPr="0045278C">
              <w:rPr>
                <w:rFonts w:ascii="Gill Sans MT" w:hAnsi="Gill Sans MT"/>
                <w:sz w:val="22"/>
              </w:rPr>
              <w:t xml:space="preserve">del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prestatario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</w:t>
            </w:r>
            <w:r w:rsidRPr="0045278C">
              <w:rPr>
                <w:rFonts w:ascii="Gill Sans MT" w:hAnsi="Gill Sans MT"/>
                <w:sz w:val="22"/>
              </w:rPr>
              <w:t xml:space="preserve">y el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nivel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</w:t>
            </w:r>
            <w:r w:rsidRPr="0045278C">
              <w:rPr>
                <w:rFonts w:ascii="Gill Sans MT" w:hAnsi="Gill Sans MT"/>
                <w:sz w:val="22"/>
              </w:rPr>
              <w:t xml:space="preserve">de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riesgo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</w:t>
            </w:r>
            <w:r w:rsidRPr="0045278C">
              <w:rPr>
                <w:rFonts w:ascii="Gill Sans MT" w:hAnsi="Gill Sans MT"/>
                <w:sz w:val="22"/>
              </w:rPr>
              <w:t xml:space="preserve">del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préstamo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. </w:t>
            </w:r>
            <w:r w:rsidRPr="0045278C">
              <w:rPr>
                <w:rFonts w:ascii="Gill Sans MT" w:hAnsi="Gill Sans MT"/>
                <w:sz w:val="22"/>
              </w:rPr>
              <w:t xml:space="preserve">Los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términos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de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pago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se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basan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en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la </w:t>
            </w:r>
            <w:proofErr w:type="spellStart"/>
            <w:r w:rsidRPr="0045278C">
              <w:rPr>
                <w:rFonts w:ascii="Gill Sans MT" w:hAnsi="Gill Sans MT"/>
                <w:sz w:val="22"/>
              </w:rPr>
              <w:t>capacidad</w:t>
            </w:r>
            <w:proofErr w:type="spellEnd"/>
            <w:r w:rsidRPr="0045278C">
              <w:rPr>
                <w:rFonts w:ascii="Gill Sans MT" w:hAnsi="Gill Sans MT"/>
                <w:sz w:val="22"/>
              </w:rPr>
              <w:t xml:space="preserve"> de la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empresa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para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pagar</w:t>
            </w:r>
            <w:proofErr w:type="spellEnd"/>
            <w:r w:rsidRPr="0045278C">
              <w:rPr>
                <w:rFonts w:ascii="Gill Sans MT" w:hAnsi="Gill Sans MT"/>
                <w:spacing w:val="-3"/>
                <w:sz w:val="22"/>
              </w:rPr>
              <w:t xml:space="preserve"> </w:t>
            </w:r>
            <w:r w:rsidRPr="0045278C">
              <w:rPr>
                <w:rFonts w:ascii="Gill Sans MT" w:hAnsi="Gill Sans MT"/>
                <w:sz w:val="22"/>
              </w:rPr>
              <w:t xml:space="preserve">el </w:t>
            </w:r>
            <w:proofErr w:type="spellStart"/>
            <w:r w:rsidRPr="0045278C">
              <w:rPr>
                <w:rFonts w:ascii="Gill Sans MT" w:hAnsi="Gill Sans MT"/>
                <w:spacing w:val="-3"/>
                <w:sz w:val="22"/>
              </w:rPr>
              <w:t>préstamo</w:t>
            </w:r>
            <w:proofErr w:type="spellEnd"/>
          </w:p>
        </w:tc>
      </w:tr>
      <w:tr w:rsidR="00BA08F6" w:rsidRPr="0045278C" w:rsidTr="007572DE">
        <w:trPr>
          <w:trHeight w:val="780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08886"/>
            <w:vAlign w:val="center"/>
            <w:hideMark/>
          </w:tcPr>
          <w:p w:rsidR="00BA08F6" w:rsidRPr="0045278C" w:rsidRDefault="0045278C" w:rsidP="007572DE">
            <w:pPr>
              <w:jc w:val="center"/>
              <w:rPr>
                <w:rFonts w:ascii="Gill Sans MT" w:hAnsi="Gill Sans MT" w:cs="Calibri"/>
                <w:b/>
                <w:bCs/>
                <w:color w:val="FFFFFF"/>
                <w:sz w:val="22"/>
              </w:rPr>
            </w:pPr>
            <w:proofErr w:type="spellStart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>Colateral</w:t>
            </w:r>
            <w:proofErr w:type="spellEnd"/>
          </w:p>
        </w:tc>
        <w:tc>
          <w:tcPr>
            <w:tcW w:w="87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F2F1"/>
            <w:vAlign w:val="center"/>
            <w:hideMark/>
          </w:tcPr>
          <w:p w:rsidR="0045278C" w:rsidRPr="0045278C" w:rsidRDefault="0045278C" w:rsidP="0045278C">
            <w:pPr>
              <w:pStyle w:val="BodyText"/>
              <w:spacing w:before="1"/>
              <w:rPr>
                <w:rFonts w:ascii="Gill Sans MT" w:hAnsi="Gill Sans MT"/>
                <w:sz w:val="22"/>
                <w:szCs w:val="24"/>
              </w:rPr>
            </w:pPr>
            <w:r w:rsidRPr="0045278C">
              <w:rPr>
                <w:rFonts w:ascii="Gill Sans MT" w:hAnsi="Gill Sans MT"/>
                <w:sz w:val="22"/>
                <w:szCs w:val="24"/>
              </w:rPr>
              <w:t xml:space="preserve">Las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posiciones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de gravamen junior son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posibles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, se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requiere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una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garantía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de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préstamo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personal.</w:t>
            </w:r>
          </w:p>
          <w:p w:rsidR="00BA08F6" w:rsidRPr="0045278C" w:rsidRDefault="00BA08F6" w:rsidP="0045278C">
            <w:pPr>
              <w:rPr>
                <w:rFonts w:ascii="Gill Sans MT" w:hAnsi="Gill Sans MT" w:cs="Calibri"/>
                <w:color w:val="000000"/>
                <w:sz w:val="22"/>
              </w:rPr>
            </w:pPr>
          </w:p>
        </w:tc>
      </w:tr>
      <w:tr w:rsidR="00BA08F6" w:rsidRPr="0045278C" w:rsidTr="007572DE">
        <w:trPr>
          <w:trHeight w:val="837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BA08F6" w:rsidRPr="0045278C" w:rsidRDefault="0045278C" w:rsidP="007572DE">
            <w:pPr>
              <w:jc w:val="center"/>
              <w:rPr>
                <w:rFonts w:ascii="Gill Sans MT" w:hAnsi="Gill Sans MT" w:cs="Calibri"/>
                <w:b/>
                <w:bCs/>
                <w:color w:val="FFFFFF"/>
                <w:sz w:val="22"/>
              </w:rPr>
            </w:pPr>
            <w:proofErr w:type="spellStart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>Reembolso</w:t>
            </w:r>
            <w:proofErr w:type="spellEnd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>Horarios</w:t>
            </w:r>
            <w:proofErr w:type="spellEnd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 xml:space="preserve"> / </w:t>
            </w:r>
            <w:proofErr w:type="spellStart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>Condiciones</w:t>
            </w:r>
            <w:proofErr w:type="spellEnd"/>
          </w:p>
        </w:tc>
        <w:tc>
          <w:tcPr>
            <w:tcW w:w="87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F2FF"/>
            <w:vAlign w:val="center"/>
            <w:hideMark/>
          </w:tcPr>
          <w:p w:rsidR="00BA08F6" w:rsidRPr="007572DE" w:rsidRDefault="0045278C" w:rsidP="007572DE">
            <w:pPr>
              <w:pStyle w:val="BodyText"/>
              <w:ind w:right="723"/>
              <w:rPr>
                <w:rFonts w:ascii="Gill Sans MT" w:hAnsi="Gill Sans MT"/>
                <w:sz w:val="22"/>
                <w:szCs w:val="24"/>
              </w:rPr>
            </w:pP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Es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posible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aplazar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los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pagos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en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función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de las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proyecciones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de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ingresos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y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gastos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y el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plazo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del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préstamo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puede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exceder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la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vida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útil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del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activo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. El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cronograma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de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pago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se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basa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en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la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capacidad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de la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empresa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para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pagar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gramStart"/>
            <w:r w:rsidRPr="0045278C">
              <w:rPr>
                <w:rFonts w:ascii="Gill Sans MT" w:hAnsi="Gill Sans MT"/>
                <w:sz w:val="22"/>
                <w:szCs w:val="24"/>
              </w:rPr>
              <w:t xml:space="preserve">el 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préstamo</w:t>
            </w:r>
            <w:proofErr w:type="spellEnd"/>
            <w:proofErr w:type="gramEnd"/>
            <w:r w:rsidRPr="0045278C">
              <w:rPr>
                <w:rFonts w:ascii="Gill Sans MT" w:hAnsi="Gill Sans MT"/>
                <w:sz w:val="22"/>
                <w:szCs w:val="24"/>
              </w:rPr>
              <w:t>.</w:t>
            </w:r>
          </w:p>
        </w:tc>
      </w:tr>
      <w:tr w:rsidR="00BA08F6" w:rsidRPr="0045278C" w:rsidTr="007572DE">
        <w:trPr>
          <w:trHeight w:val="780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08886"/>
            <w:vAlign w:val="center"/>
            <w:hideMark/>
          </w:tcPr>
          <w:p w:rsidR="00BA08F6" w:rsidRPr="0045278C" w:rsidRDefault="0045278C" w:rsidP="007572DE">
            <w:pPr>
              <w:jc w:val="center"/>
              <w:rPr>
                <w:rFonts w:ascii="Gill Sans MT" w:hAnsi="Gill Sans MT" w:cs="Calibri"/>
                <w:b/>
                <w:bCs/>
                <w:color w:val="FFFFFF"/>
                <w:sz w:val="22"/>
              </w:rPr>
            </w:pPr>
            <w:proofErr w:type="spellStart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>Tarifas</w:t>
            </w:r>
            <w:proofErr w:type="spellEnd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 xml:space="preserve"> de </w:t>
            </w:r>
            <w:proofErr w:type="spellStart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>préstamo</w:t>
            </w:r>
            <w:proofErr w:type="spellEnd"/>
          </w:p>
        </w:tc>
        <w:tc>
          <w:tcPr>
            <w:tcW w:w="87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F2F1"/>
            <w:vAlign w:val="center"/>
            <w:hideMark/>
          </w:tcPr>
          <w:p w:rsidR="00BA08F6" w:rsidRPr="0045278C" w:rsidRDefault="0045278C" w:rsidP="0045278C">
            <w:pPr>
              <w:rPr>
                <w:rFonts w:ascii="Gill Sans MT" w:hAnsi="Gill Sans MT" w:cs="Calibri"/>
                <w:color w:val="000000"/>
                <w:sz w:val="22"/>
              </w:rPr>
            </w:pPr>
            <w:proofErr w:type="spellStart"/>
            <w:r w:rsidRPr="0045278C">
              <w:rPr>
                <w:rFonts w:ascii="Gill Sans MT" w:hAnsi="Gill Sans MT"/>
                <w:w w:val="105"/>
                <w:sz w:val="22"/>
              </w:rPr>
              <w:t>Ninguna</w:t>
            </w:r>
            <w:proofErr w:type="spellEnd"/>
          </w:p>
        </w:tc>
      </w:tr>
      <w:tr w:rsidR="00BA08F6" w:rsidRPr="0045278C" w:rsidTr="007572DE">
        <w:trPr>
          <w:trHeight w:val="780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BA08F6" w:rsidRPr="0045278C" w:rsidRDefault="0045278C" w:rsidP="007572DE">
            <w:pPr>
              <w:jc w:val="center"/>
              <w:rPr>
                <w:rFonts w:ascii="Gill Sans MT" w:hAnsi="Gill Sans MT" w:cs="Calibri"/>
                <w:b/>
                <w:bCs/>
                <w:color w:val="FFFFFF"/>
                <w:sz w:val="22"/>
              </w:rPr>
            </w:pPr>
            <w:proofErr w:type="spellStart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>Creación</w:t>
            </w:r>
            <w:proofErr w:type="spellEnd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 xml:space="preserve"> de </w:t>
            </w:r>
            <w:proofErr w:type="spellStart"/>
            <w:r w:rsidRPr="0045278C">
              <w:rPr>
                <w:rFonts w:ascii="Gill Sans MT" w:eastAsiaTheme="minorHAnsi" w:hAnsi="Gill Sans MT" w:cs="Arial"/>
                <w:b/>
                <w:bCs/>
                <w:color w:val="FFFFFF"/>
                <w:sz w:val="22"/>
              </w:rPr>
              <w:t>empleo</w:t>
            </w:r>
            <w:proofErr w:type="spellEnd"/>
          </w:p>
        </w:tc>
        <w:tc>
          <w:tcPr>
            <w:tcW w:w="87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F2FF"/>
            <w:vAlign w:val="center"/>
            <w:hideMark/>
          </w:tcPr>
          <w:p w:rsidR="0045278C" w:rsidRPr="0045278C" w:rsidRDefault="0045278C" w:rsidP="0045278C">
            <w:pPr>
              <w:autoSpaceDE w:val="0"/>
              <w:autoSpaceDN w:val="0"/>
              <w:adjustRightInd w:val="0"/>
              <w:rPr>
                <w:rFonts w:ascii="Gill Sans MT" w:eastAsiaTheme="minorHAnsi" w:hAnsi="Gill Sans MT" w:cs="Arial"/>
                <w:sz w:val="22"/>
              </w:rPr>
            </w:pPr>
            <w:r w:rsidRPr="0045278C">
              <w:rPr>
                <w:rFonts w:ascii="Gill Sans MT" w:eastAsiaTheme="minorHAnsi" w:hAnsi="Gill Sans MT" w:cs="Arial"/>
                <w:sz w:val="22"/>
              </w:rPr>
              <w:t xml:space="preserve">Un </w:t>
            </w:r>
            <w:proofErr w:type="spellStart"/>
            <w:r w:rsidRPr="0045278C">
              <w:rPr>
                <w:rFonts w:ascii="Gill Sans MT" w:eastAsiaTheme="minorHAnsi" w:hAnsi="Gill Sans MT" w:cs="Arial"/>
                <w:sz w:val="22"/>
              </w:rPr>
              <w:t>trabajo</w:t>
            </w:r>
            <w:proofErr w:type="spellEnd"/>
            <w:r w:rsidRPr="0045278C">
              <w:rPr>
                <w:rFonts w:ascii="Gill Sans MT" w:eastAsiaTheme="minorHAnsi" w:hAnsi="Gill Sans MT" w:cs="Arial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eastAsiaTheme="minorHAnsi" w:hAnsi="Gill Sans MT" w:cs="Arial"/>
                <w:sz w:val="22"/>
              </w:rPr>
              <w:t>por</w:t>
            </w:r>
            <w:proofErr w:type="spellEnd"/>
            <w:r w:rsidRPr="0045278C">
              <w:rPr>
                <w:rFonts w:ascii="Gill Sans MT" w:eastAsiaTheme="minorHAnsi" w:hAnsi="Gill Sans MT" w:cs="Arial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eastAsiaTheme="minorHAnsi" w:hAnsi="Gill Sans MT" w:cs="Arial"/>
                <w:sz w:val="22"/>
              </w:rPr>
              <w:t>cada</w:t>
            </w:r>
            <w:proofErr w:type="spellEnd"/>
            <w:r w:rsidRPr="0045278C">
              <w:rPr>
                <w:rFonts w:ascii="Gill Sans MT" w:eastAsiaTheme="minorHAnsi" w:hAnsi="Gill Sans MT" w:cs="Arial"/>
                <w:sz w:val="22"/>
              </w:rPr>
              <w:t xml:space="preserve"> $35,000 </w:t>
            </w:r>
            <w:proofErr w:type="spellStart"/>
            <w:r w:rsidRPr="0045278C">
              <w:rPr>
                <w:rFonts w:ascii="Gill Sans MT" w:eastAsiaTheme="minorHAnsi" w:hAnsi="Gill Sans MT" w:cs="Arial"/>
                <w:sz w:val="22"/>
              </w:rPr>
              <w:t>prestados</w:t>
            </w:r>
            <w:proofErr w:type="spellEnd"/>
            <w:r w:rsidRPr="0045278C">
              <w:rPr>
                <w:rFonts w:ascii="Gill Sans MT" w:eastAsiaTheme="minorHAnsi" w:hAnsi="Gill Sans MT" w:cs="Arial"/>
                <w:sz w:val="22"/>
              </w:rPr>
              <w:t xml:space="preserve">, con el 51% de </w:t>
            </w:r>
            <w:proofErr w:type="spellStart"/>
            <w:r w:rsidRPr="0045278C">
              <w:rPr>
                <w:rFonts w:ascii="Gill Sans MT" w:eastAsiaTheme="minorHAnsi" w:hAnsi="Gill Sans MT" w:cs="Arial"/>
                <w:sz w:val="22"/>
              </w:rPr>
              <w:t>los</w:t>
            </w:r>
            <w:proofErr w:type="spellEnd"/>
            <w:r w:rsidRPr="0045278C">
              <w:rPr>
                <w:rFonts w:ascii="Gill Sans MT" w:eastAsiaTheme="minorHAnsi" w:hAnsi="Gill Sans MT" w:cs="Arial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eastAsiaTheme="minorHAnsi" w:hAnsi="Gill Sans MT" w:cs="Arial"/>
                <w:sz w:val="22"/>
              </w:rPr>
              <w:t>trabajos</w:t>
            </w:r>
            <w:proofErr w:type="spellEnd"/>
            <w:r w:rsidRPr="0045278C">
              <w:rPr>
                <w:rFonts w:ascii="Gill Sans MT" w:eastAsiaTheme="minorHAnsi" w:hAnsi="Gill Sans MT" w:cs="Arial"/>
                <w:sz w:val="22"/>
              </w:rPr>
              <w:t xml:space="preserve"> para </w:t>
            </w:r>
            <w:proofErr w:type="spellStart"/>
            <w:r w:rsidRPr="0045278C">
              <w:rPr>
                <w:rFonts w:ascii="Gill Sans MT" w:eastAsiaTheme="minorHAnsi" w:hAnsi="Gill Sans MT" w:cs="Arial"/>
                <w:sz w:val="22"/>
              </w:rPr>
              <w:t>ser</w:t>
            </w:r>
            <w:proofErr w:type="spellEnd"/>
            <w:r w:rsidRPr="0045278C">
              <w:rPr>
                <w:rFonts w:ascii="Gill Sans MT" w:eastAsiaTheme="minorHAnsi" w:hAnsi="Gill Sans MT" w:cs="Arial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eastAsiaTheme="minorHAnsi" w:hAnsi="Gill Sans MT" w:cs="Arial"/>
                <w:sz w:val="22"/>
              </w:rPr>
              <w:t>ocupados</w:t>
            </w:r>
            <w:proofErr w:type="spellEnd"/>
            <w:r w:rsidRPr="0045278C">
              <w:rPr>
                <w:rFonts w:ascii="Gill Sans MT" w:eastAsiaTheme="minorHAnsi" w:hAnsi="Gill Sans MT" w:cs="Arial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eastAsiaTheme="minorHAnsi" w:hAnsi="Gill Sans MT" w:cs="Arial"/>
                <w:sz w:val="22"/>
              </w:rPr>
              <w:t>por</w:t>
            </w:r>
            <w:proofErr w:type="spellEnd"/>
            <w:r w:rsidRPr="0045278C">
              <w:rPr>
                <w:rFonts w:ascii="Gill Sans MT" w:eastAsiaTheme="minorHAnsi" w:hAnsi="Gill Sans MT" w:cs="Arial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eastAsiaTheme="minorHAnsi" w:hAnsi="Gill Sans MT" w:cs="Arial"/>
                <w:sz w:val="22"/>
              </w:rPr>
              <w:t>miembros</w:t>
            </w:r>
            <w:proofErr w:type="spellEnd"/>
            <w:r w:rsidRPr="0045278C">
              <w:rPr>
                <w:rFonts w:ascii="Gill Sans MT" w:eastAsiaTheme="minorHAnsi" w:hAnsi="Gill Sans MT" w:cs="Arial"/>
                <w:sz w:val="22"/>
              </w:rPr>
              <w:t xml:space="preserve"> del </w:t>
            </w:r>
            <w:proofErr w:type="spellStart"/>
            <w:r w:rsidRPr="0045278C">
              <w:rPr>
                <w:rFonts w:ascii="Gill Sans MT" w:eastAsiaTheme="minorHAnsi" w:hAnsi="Gill Sans MT" w:cs="Arial"/>
                <w:sz w:val="22"/>
              </w:rPr>
              <w:t>grupo</w:t>
            </w:r>
            <w:proofErr w:type="spellEnd"/>
            <w:r w:rsidRPr="0045278C">
              <w:rPr>
                <w:rFonts w:ascii="Gill Sans MT" w:eastAsiaTheme="minorHAnsi" w:hAnsi="Gill Sans MT" w:cs="Arial"/>
                <w:sz w:val="22"/>
              </w:rPr>
              <w:t xml:space="preserve"> de</w:t>
            </w:r>
          </w:p>
          <w:p w:rsidR="00BA08F6" w:rsidRPr="0045278C" w:rsidRDefault="0045278C" w:rsidP="0045278C">
            <w:pPr>
              <w:rPr>
                <w:rFonts w:ascii="Gill Sans MT" w:hAnsi="Gill Sans MT" w:cs="Calibri"/>
                <w:color w:val="000000"/>
                <w:sz w:val="22"/>
              </w:rPr>
            </w:pPr>
            <w:proofErr w:type="spellStart"/>
            <w:proofErr w:type="gramStart"/>
            <w:r w:rsidRPr="0045278C">
              <w:rPr>
                <w:rFonts w:ascii="Gill Sans MT" w:eastAsiaTheme="minorHAnsi" w:hAnsi="Gill Sans MT" w:cs="Arial"/>
                <w:sz w:val="22"/>
              </w:rPr>
              <w:t>ingresos</w:t>
            </w:r>
            <w:proofErr w:type="spellEnd"/>
            <w:proofErr w:type="gramEnd"/>
            <w:r w:rsidRPr="0045278C">
              <w:rPr>
                <w:rFonts w:ascii="Gill Sans MT" w:eastAsiaTheme="minorHAnsi" w:hAnsi="Gill Sans MT" w:cs="Arial"/>
                <w:sz w:val="22"/>
              </w:rPr>
              <w:t xml:space="preserve"> </w:t>
            </w:r>
            <w:proofErr w:type="spellStart"/>
            <w:r w:rsidRPr="0045278C">
              <w:rPr>
                <w:rFonts w:ascii="Gill Sans MT" w:eastAsiaTheme="minorHAnsi" w:hAnsi="Gill Sans MT" w:cs="Arial"/>
                <w:sz w:val="22"/>
              </w:rPr>
              <w:t>bajos</w:t>
            </w:r>
            <w:proofErr w:type="spellEnd"/>
            <w:r w:rsidRPr="0045278C">
              <w:rPr>
                <w:rFonts w:ascii="Gill Sans MT" w:eastAsiaTheme="minorHAnsi" w:hAnsi="Gill Sans MT" w:cs="Arial"/>
                <w:sz w:val="22"/>
              </w:rPr>
              <w:t xml:space="preserve"> a </w:t>
            </w:r>
            <w:proofErr w:type="spellStart"/>
            <w:r w:rsidRPr="0045278C">
              <w:rPr>
                <w:rFonts w:ascii="Gill Sans MT" w:eastAsiaTheme="minorHAnsi" w:hAnsi="Gill Sans MT" w:cs="Arial"/>
                <w:sz w:val="22"/>
              </w:rPr>
              <w:t>moderados</w:t>
            </w:r>
            <w:proofErr w:type="spellEnd"/>
            <w:r w:rsidRPr="0045278C">
              <w:rPr>
                <w:rFonts w:ascii="Gill Sans MT" w:eastAsiaTheme="minorHAnsi" w:hAnsi="Gill Sans MT" w:cs="Arial"/>
                <w:sz w:val="22"/>
              </w:rPr>
              <w:t>.</w:t>
            </w:r>
          </w:p>
        </w:tc>
      </w:tr>
      <w:tr w:rsidR="00BA08F6" w:rsidRPr="0045278C" w:rsidTr="007572DE">
        <w:trPr>
          <w:trHeight w:val="873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08886"/>
            <w:vAlign w:val="center"/>
            <w:hideMark/>
          </w:tcPr>
          <w:p w:rsidR="0045278C" w:rsidRPr="0045278C" w:rsidRDefault="0045278C" w:rsidP="007572DE">
            <w:pPr>
              <w:ind w:right="54"/>
              <w:jc w:val="center"/>
              <w:rPr>
                <w:rFonts w:ascii="Gill Sans MT" w:hAnsi="Gill Sans MT"/>
                <w:b/>
                <w:sz w:val="22"/>
              </w:rPr>
            </w:pPr>
            <w:proofErr w:type="spellStart"/>
            <w:r w:rsidRPr="0045278C">
              <w:rPr>
                <w:rFonts w:ascii="Gill Sans MT" w:hAnsi="Gill Sans MT"/>
                <w:b/>
                <w:color w:val="FFFFFF"/>
                <w:sz w:val="22"/>
              </w:rPr>
              <w:t>Uso</w:t>
            </w:r>
            <w:proofErr w:type="spellEnd"/>
            <w:r w:rsidRPr="0045278C">
              <w:rPr>
                <w:rFonts w:ascii="Gill Sans MT" w:hAnsi="Gill Sans MT"/>
                <w:b/>
                <w:color w:val="FFFFFF"/>
                <w:sz w:val="22"/>
              </w:rPr>
              <w:t xml:space="preserve"> de </w:t>
            </w:r>
            <w:proofErr w:type="spellStart"/>
            <w:r w:rsidRPr="0045278C">
              <w:rPr>
                <w:rFonts w:ascii="Gill Sans MT" w:hAnsi="Gill Sans MT"/>
                <w:b/>
                <w:color w:val="FFFFFF"/>
                <w:sz w:val="22"/>
              </w:rPr>
              <w:t>fondos</w:t>
            </w:r>
            <w:proofErr w:type="spellEnd"/>
          </w:p>
          <w:p w:rsidR="00BA08F6" w:rsidRPr="0045278C" w:rsidRDefault="00BA08F6" w:rsidP="0045278C">
            <w:pPr>
              <w:jc w:val="center"/>
              <w:rPr>
                <w:rFonts w:ascii="Gill Sans MT" w:hAnsi="Gill Sans MT" w:cs="Calibri"/>
                <w:b/>
                <w:bCs/>
                <w:color w:val="FFFFFF"/>
                <w:sz w:val="22"/>
              </w:rPr>
            </w:pPr>
          </w:p>
        </w:tc>
        <w:tc>
          <w:tcPr>
            <w:tcW w:w="87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F2F1"/>
            <w:vAlign w:val="center"/>
            <w:hideMark/>
          </w:tcPr>
          <w:p w:rsidR="00BA08F6" w:rsidRPr="007572DE" w:rsidRDefault="0045278C" w:rsidP="007572DE">
            <w:pPr>
              <w:pStyle w:val="BodyText"/>
              <w:spacing w:before="1"/>
              <w:ind w:right="723"/>
              <w:rPr>
                <w:rFonts w:ascii="Gill Sans MT" w:hAnsi="Gill Sans MT"/>
                <w:sz w:val="22"/>
                <w:szCs w:val="24"/>
              </w:rPr>
            </w:pP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Compra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de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equipos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,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inventario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,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bienes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inmuebles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, capital de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trabajo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,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consolidación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de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deuda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. La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construcción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es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menos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preferible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debido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a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los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requisitos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de la Ley </w:t>
            </w:r>
            <w:proofErr w:type="spellStart"/>
            <w:r w:rsidRPr="0045278C">
              <w:rPr>
                <w:rFonts w:ascii="Gill Sans MT" w:hAnsi="Gill Sans MT"/>
                <w:sz w:val="22"/>
                <w:szCs w:val="24"/>
              </w:rPr>
              <w:t>Laboral</w:t>
            </w:r>
            <w:proofErr w:type="spellEnd"/>
            <w:r w:rsidRPr="0045278C">
              <w:rPr>
                <w:rFonts w:ascii="Gill Sans MT" w:hAnsi="Gill Sans MT"/>
                <w:sz w:val="22"/>
                <w:szCs w:val="24"/>
              </w:rPr>
              <w:t xml:space="preserve"> de Davis Bacon.</w:t>
            </w:r>
          </w:p>
        </w:tc>
      </w:tr>
      <w:tr w:rsidR="007572DE" w:rsidRPr="0045278C" w:rsidTr="007572DE">
        <w:trPr>
          <w:trHeight w:val="285"/>
        </w:trPr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BA08F6" w:rsidRPr="007572DE" w:rsidRDefault="0045278C" w:rsidP="007572DE">
            <w:pPr>
              <w:pStyle w:val="Heading5"/>
              <w:spacing w:before="1"/>
              <w:ind w:left="0"/>
              <w:jc w:val="center"/>
              <w:rPr>
                <w:rFonts w:ascii="Gill Sans MT" w:hAnsi="Gill Sans MT"/>
                <w:sz w:val="22"/>
                <w:szCs w:val="24"/>
              </w:rPr>
            </w:pPr>
            <w:proofErr w:type="spellStart"/>
            <w:r w:rsidRPr="0045278C">
              <w:rPr>
                <w:rFonts w:ascii="Gill Sans MT" w:hAnsi="Gill Sans MT"/>
                <w:color w:val="FFFFFF"/>
                <w:sz w:val="22"/>
                <w:szCs w:val="24"/>
              </w:rPr>
              <w:t>Contacto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:rsidR="00BA08F6" w:rsidRPr="0045278C" w:rsidRDefault="00BA08F6" w:rsidP="0045278C">
            <w:pPr>
              <w:jc w:val="center"/>
              <w:rPr>
                <w:rFonts w:ascii="Gill Sans MT" w:hAnsi="Gill Sans MT" w:cs="Calibri"/>
                <w:color w:val="000000"/>
                <w:sz w:val="22"/>
              </w:rPr>
            </w:pPr>
            <w:r w:rsidRPr="0045278C">
              <w:rPr>
                <w:rFonts w:ascii="Gill Sans MT" w:hAnsi="Gill Sans MT" w:cs="Calibri"/>
                <w:color w:val="000000"/>
                <w:sz w:val="22"/>
              </w:rPr>
              <w:t>Jeff Lucas, Program Consultant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F2FF"/>
            <w:vAlign w:val="center"/>
            <w:hideMark/>
          </w:tcPr>
          <w:p w:rsidR="00BA08F6" w:rsidRPr="0045278C" w:rsidRDefault="00BA08F6" w:rsidP="0045278C">
            <w:pPr>
              <w:jc w:val="center"/>
              <w:rPr>
                <w:rFonts w:ascii="Gill Sans MT" w:hAnsi="Gill Sans MT" w:cs="Calibri"/>
                <w:color w:val="000000"/>
                <w:sz w:val="22"/>
              </w:rPr>
            </w:pPr>
            <w:r w:rsidRPr="0045278C">
              <w:rPr>
                <w:rFonts w:ascii="Gill Sans MT" w:hAnsi="Gill Sans MT" w:cs="Calibri"/>
                <w:color w:val="000000"/>
                <w:sz w:val="22"/>
              </w:rPr>
              <w:t>Office: 707-279-1540 ext. 200</w:t>
            </w:r>
          </w:p>
        </w:tc>
      </w:tr>
      <w:tr w:rsidR="007572DE" w:rsidRPr="0045278C" w:rsidTr="007572DE">
        <w:trPr>
          <w:trHeight w:val="270"/>
        </w:trPr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8F6" w:rsidRPr="0045278C" w:rsidRDefault="00BA08F6" w:rsidP="0045278C">
            <w:pPr>
              <w:rPr>
                <w:rFonts w:ascii="Gill Sans MT" w:hAnsi="Gill Sans MT" w:cs="Calibri"/>
                <w:b/>
                <w:bCs/>
                <w:color w:val="FFFFFF"/>
                <w:sz w:val="22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:rsidR="00BA08F6" w:rsidRPr="0045278C" w:rsidRDefault="00BA08F6" w:rsidP="0045278C">
            <w:pPr>
              <w:jc w:val="center"/>
              <w:rPr>
                <w:rFonts w:ascii="Gill Sans MT" w:hAnsi="Gill Sans MT" w:cs="Calibri"/>
                <w:color w:val="000000"/>
                <w:sz w:val="22"/>
              </w:rPr>
            </w:pPr>
            <w:r w:rsidRPr="0045278C">
              <w:rPr>
                <w:rFonts w:ascii="Gill Sans MT" w:hAnsi="Gill Sans MT" w:cs="Calibri"/>
                <w:color w:val="000000"/>
                <w:sz w:val="22"/>
              </w:rPr>
              <w:t>Community Development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F2FF"/>
            <w:vAlign w:val="bottom"/>
            <w:hideMark/>
          </w:tcPr>
          <w:p w:rsidR="00BA08F6" w:rsidRPr="0045278C" w:rsidRDefault="00BA08F6" w:rsidP="0045278C">
            <w:pPr>
              <w:jc w:val="center"/>
              <w:rPr>
                <w:rFonts w:ascii="Gill Sans MT" w:hAnsi="Gill Sans MT" w:cs="Calibri"/>
                <w:color w:val="000000"/>
                <w:sz w:val="22"/>
              </w:rPr>
            </w:pPr>
            <w:r w:rsidRPr="0045278C">
              <w:rPr>
                <w:rFonts w:ascii="Gill Sans MT" w:hAnsi="Gill Sans MT" w:cs="Calibri"/>
                <w:color w:val="000000"/>
                <w:sz w:val="22"/>
              </w:rPr>
              <w:t>Cell: 707-489-4943</w:t>
            </w:r>
          </w:p>
        </w:tc>
      </w:tr>
      <w:tr w:rsidR="007572DE" w:rsidRPr="0045278C" w:rsidTr="007572DE">
        <w:trPr>
          <w:trHeight w:val="285"/>
        </w:trPr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8F6" w:rsidRPr="0045278C" w:rsidRDefault="00BA08F6" w:rsidP="0045278C">
            <w:pPr>
              <w:rPr>
                <w:rFonts w:ascii="Gill Sans MT" w:hAnsi="Gill Sans MT" w:cs="Calibri"/>
                <w:b/>
                <w:bCs/>
                <w:color w:val="FFFFFF"/>
                <w:sz w:val="22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F2FF"/>
            <w:vAlign w:val="bottom"/>
            <w:hideMark/>
          </w:tcPr>
          <w:p w:rsidR="00BA08F6" w:rsidRPr="0045278C" w:rsidRDefault="00BA08F6" w:rsidP="0045278C">
            <w:pPr>
              <w:jc w:val="center"/>
              <w:rPr>
                <w:rFonts w:ascii="Gill Sans MT" w:hAnsi="Gill Sans MT" w:cs="Calibri"/>
                <w:color w:val="000000"/>
                <w:sz w:val="22"/>
              </w:rPr>
            </w:pPr>
            <w:r w:rsidRPr="0045278C">
              <w:rPr>
                <w:rFonts w:ascii="Gill Sans MT" w:hAnsi="Gill Sans MT" w:cs="Calibri"/>
                <w:color w:val="000000"/>
                <w:sz w:val="22"/>
              </w:rPr>
              <w:t>3895 Main Street, Kelseyville,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:rsidR="00BA08F6" w:rsidRPr="0045278C" w:rsidRDefault="003B339A" w:rsidP="0045278C">
            <w:pPr>
              <w:jc w:val="center"/>
              <w:rPr>
                <w:rFonts w:ascii="Gill Sans MT" w:hAnsi="Gill Sans MT" w:cs="Calibri"/>
                <w:color w:val="0563C1"/>
                <w:sz w:val="22"/>
                <w:u w:val="single"/>
              </w:rPr>
            </w:pPr>
            <w:hyperlink r:id="rId11" w:history="1">
              <w:r w:rsidR="00BA08F6" w:rsidRPr="0045278C">
                <w:rPr>
                  <w:rStyle w:val="Hyperlink"/>
                  <w:rFonts w:ascii="Gill Sans MT" w:hAnsi="Gill Sans MT" w:cs="Calibri"/>
                  <w:sz w:val="22"/>
                </w:rPr>
                <w:t>Email: jeff@cds.consulting</w:t>
              </w:r>
            </w:hyperlink>
          </w:p>
        </w:tc>
      </w:tr>
    </w:tbl>
    <w:p w:rsidR="00BA08F6" w:rsidRPr="00714FFC" w:rsidRDefault="007572DE" w:rsidP="0036429D">
      <w:pPr>
        <w:spacing w:after="120"/>
        <w:ind w:right="360"/>
        <w:rPr>
          <w:rFonts w:ascii="Gill Sans MT" w:hAnsi="Gill Sans MT"/>
          <w:b/>
        </w:rPr>
      </w:pPr>
      <w:r w:rsidRPr="007572DE">
        <w:rPr>
          <w:rFonts w:ascii="Gill Sans MT" w:hAnsi="Gill Sans MT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E9BAB21" wp14:editId="45010234">
            <wp:simplePos x="0" y="0"/>
            <wp:positionH relativeFrom="margin">
              <wp:posOffset>123825</wp:posOffset>
            </wp:positionH>
            <wp:positionV relativeFrom="paragraph">
              <wp:posOffset>101600</wp:posOffset>
            </wp:positionV>
            <wp:extent cx="742950" cy="755529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Fort Bragg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5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08F6" w:rsidRPr="00714FFC" w:rsidSect="00714FFC">
      <w:footerReference w:type="default" r:id="rId12"/>
      <w:pgSz w:w="12240" w:h="15840"/>
      <w:pgMar w:top="720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BC" w:rsidRDefault="005C7E70">
      <w:r>
        <w:separator/>
      </w:r>
    </w:p>
  </w:endnote>
  <w:endnote w:type="continuationSeparator" w:id="0">
    <w:p w:rsidR="002655BC" w:rsidRDefault="005C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FC" w:rsidRDefault="00714FFC" w:rsidP="00714FFC">
    <w:pPr>
      <w:pStyle w:val="Footer"/>
      <w:jc w:val="center"/>
      <w:rPr>
        <w:rFonts w:ascii="Gill Sans MT" w:hAnsi="Gill Sans MT" w:cs="Arial"/>
      </w:rPr>
    </w:pPr>
    <w:r>
      <w:rPr>
        <w:rFonts w:ascii="Gill Sans MT" w:hAnsi="Gill Sans MT" w:cs="Arial"/>
      </w:rPr>
      <w:t>For more information please contact:</w:t>
    </w:r>
  </w:p>
  <w:p w:rsidR="00714FFC" w:rsidRPr="00714FFC" w:rsidRDefault="00714FFC" w:rsidP="00714FFC">
    <w:pPr>
      <w:pStyle w:val="Footer"/>
      <w:jc w:val="center"/>
    </w:pPr>
    <w:r>
      <w:rPr>
        <w:rFonts w:ascii="Gill Sans MT" w:hAnsi="Gill Sans MT" w:cs="Arial"/>
      </w:rPr>
      <w:t>Lacy P</w:t>
    </w:r>
    <w:r w:rsidR="003976EE">
      <w:rPr>
        <w:rFonts w:ascii="Gill Sans MT" w:hAnsi="Gill Sans MT" w:cs="Arial"/>
      </w:rPr>
      <w:t>eterson at 707-961-2823 ext. 108</w:t>
    </w:r>
    <w:r>
      <w:rPr>
        <w:rFonts w:ascii="Gill Sans MT" w:hAnsi="Gill Sans MT" w:cs="Arial"/>
      </w:rPr>
      <w:t xml:space="preserve"> or by email at </w:t>
    </w:r>
    <w:hyperlink r:id="rId1" w:history="1">
      <w:r w:rsidR="0036429D" w:rsidRPr="0036429D">
        <w:rPr>
          <w:rStyle w:val="Hyperlink"/>
          <w:rFonts w:ascii="Gill Sans MT" w:hAnsi="Gill Sans MT" w:cs="Arial"/>
          <w:color w:val="auto"/>
        </w:rPr>
        <w:t>lpeterson@fortbragg.com</w:t>
      </w:r>
    </w:hyperlink>
    <w:r w:rsidRPr="0036429D">
      <w:rPr>
        <w:rFonts w:ascii="Gill Sans MT" w:hAnsi="Gill Sans MT"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BC" w:rsidRDefault="005C7E70">
      <w:r>
        <w:separator/>
      </w:r>
    </w:p>
  </w:footnote>
  <w:footnote w:type="continuationSeparator" w:id="0">
    <w:p w:rsidR="002655BC" w:rsidRDefault="005C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E54"/>
    <w:multiLevelType w:val="hybridMultilevel"/>
    <w:tmpl w:val="99B4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87AE4"/>
    <w:multiLevelType w:val="hybridMultilevel"/>
    <w:tmpl w:val="3394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81"/>
    <w:rsid w:val="000068AB"/>
    <w:rsid w:val="000641C1"/>
    <w:rsid w:val="00095107"/>
    <w:rsid w:val="000F3BC5"/>
    <w:rsid w:val="001154A9"/>
    <w:rsid w:val="00122727"/>
    <w:rsid w:val="00155051"/>
    <w:rsid w:val="001D047A"/>
    <w:rsid w:val="002655BC"/>
    <w:rsid w:val="0036429D"/>
    <w:rsid w:val="003716C4"/>
    <w:rsid w:val="003976EE"/>
    <w:rsid w:val="003B339A"/>
    <w:rsid w:val="003F5434"/>
    <w:rsid w:val="0045278C"/>
    <w:rsid w:val="004750C5"/>
    <w:rsid w:val="00487F20"/>
    <w:rsid w:val="004A007E"/>
    <w:rsid w:val="004B20CA"/>
    <w:rsid w:val="00512C47"/>
    <w:rsid w:val="005C7E70"/>
    <w:rsid w:val="005E3C42"/>
    <w:rsid w:val="00714FFC"/>
    <w:rsid w:val="0073700F"/>
    <w:rsid w:val="007572DE"/>
    <w:rsid w:val="00800EFB"/>
    <w:rsid w:val="00817BEC"/>
    <w:rsid w:val="008221A5"/>
    <w:rsid w:val="00834581"/>
    <w:rsid w:val="00875C57"/>
    <w:rsid w:val="00906BB4"/>
    <w:rsid w:val="009D3AD4"/>
    <w:rsid w:val="00A575BD"/>
    <w:rsid w:val="00A76860"/>
    <w:rsid w:val="00AF6BE2"/>
    <w:rsid w:val="00BA08F6"/>
    <w:rsid w:val="00D562E0"/>
    <w:rsid w:val="00D7188E"/>
    <w:rsid w:val="00E37A31"/>
    <w:rsid w:val="00EB0FC6"/>
    <w:rsid w:val="00F76ACF"/>
    <w:rsid w:val="00F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4C2FC9"/>
  <w15:docId w15:val="{2B582385-D9B1-48C0-844A-A95ABE8C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BA08F6"/>
    <w:pPr>
      <w:widowControl w:val="0"/>
      <w:autoSpaceDE w:val="0"/>
      <w:autoSpaceDN w:val="0"/>
      <w:ind w:left="343"/>
      <w:outlineLvl w:val="4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4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58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E7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7A31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ACF"/>
    <w:rPr>
      <w:color w:val="9F6715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E3C42"/>
    <w:pPr>
      <w:widowControl w:val="0"/>
      <w:autoSpaceDE w:val="0"/>
      <w:autoSpaceDN w:val="0"/>
      <w:ind w:left="108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17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B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E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rsid w:val="00BA08F6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45278C"/>
    <w:pPr>
      <w:widowControl w:val="0"/>
      <w:autoSpaceDE w:val="0"/>
      <w:autoSpaceDN w:val="0"/>
    </w:pPr>
    <w:rPr>
      <w:rFonts w:ascii="Arial" w:eastAsia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45278C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ff@cds.consultin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eff@cds.consult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peterson@fortbragg.com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Bragg California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maryanne@westcompany.org</dc:creator>
  <cp:lastModifiedBy>Peterson, Lacy</cp:lastModifiedBy>
  <cp:revision>2</cp:revision>
  <cp:lastPrinted>2022-03-24T22:19:00Z</cp:lastPrinted>
  <dcterms:created xsi:type="dcterms:W3CDTF">2024-04-01T06:39:00Z</dcterms:created>
  <dcterms:modified xsi:type="dcterms:W3CDTF">2024-04-01T06:39:00Z</dcterms:modified>
</cp:coreProperties>
</file>